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44"/>
          <w:szCs w:val="32"/>
        </w:rPr>
        <w:t>天津市粮食行业信用评价管理办法（试行）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第一章 总则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第一条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为推进我市粮食行业信用体系建设，规范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粮食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信用管理，</w:t>
      </w:r>
      <w:r>
        <w:rPr>
          <w:rFonts w:ascii="Times New Roman" w:hAnsi="Times New Roman" w:eastAsia="仿宋_GB2312" w:cs="Times New Roman"/>
          <w:sz w:val="32"/>
          <w:szCs w:val="32"/>
        </w:rPr>
        <w:t>促进粮食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经营者</w:t>
      </w:r>
      <w:r>
        <w:rPr>
          <w:rFonts w:ascii="Times New Roman" w:hAnsi="Times New Roman" w:eastAsia="仿宋_GB2312" w:cs="Times New Roman"/>
          <w:sz w:val="32"/>
          <w:szCs w:val="32"/>
        </w:rPr>
        <w:t>守法经营和诚信自律，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维护良好的</w:t>
      </w:r>
      <w:r>
        <w:rPr>
          <w:rFonts w:ascii="Times New Roman" w:hAnsi="Times New Roman" w:eastAsia="仿宋_GB2312" w:cs="Times New Roman"/>
          <w:sz w:val="32"/>
          <w:szCs w:val="32"/>
        </w:rPr>
        <w:t>粮食流通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信用</w:t>
      </w:r>
      <w:r>
        <w:rPr>
          <w:rFonts w:ascii="Times New Roman" w:hAnsi="Times New Roman" w:eastAsia="仿宋_GB2312" w:cs="Times New Roman"/>
          <w:sz w:val="32"/>
          <w:szCs w:val="32"/>
        </w:rPr>
        <w:t>环境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和粮食流通秩序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根据《粮食流通管理条例》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《天津市社会信用条例》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《天津市粮食流通管理办法》等法律</w:t>
      </w:r>
      <w:r>
        <w:rPr>
          <w:rFonts w:ascii="Times New Roman" w:hAnsi="Times New Roman" w:eastAsia="仿宋_GB2312" w:cs="Times New Roman"/>
          <w:sz w:val="32"/>
          <w:szCs w:val="32"/>
        </w:rPr>
        <w:t>法规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规定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结合我市粮食流通工作实际，</w:t>
      </w:r>
      <w:r>
        <w:rPr>
          <w:rFonts w:ascii="Times New Roman" w:hAnsi="Times New Roman" w:eastAsia="仿宋_GB2312" w:cs="Times New Roman"/>
          <w:sz w:val="32"/>
          <w:szCs w:val="32"/>
        </w:rPr>
        <w:t>制定本办法。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条 本办法适用于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我市行政区域</w:t>
      </w:r>
      <w:r>
        <w:rPr>
          <w:rFonts w:ascii="Times New Roman" w:hAnsi="Times New Roman" w:eastAsia="仿宋_GB2312" w:cs="Times New Roman"/>
          <w:sz w:val="32"/>
          <w:szCs w:val="32"/>
        </w:rPr>
        <w:t>内从事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粮食收购、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销售、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储存、运输、加工、进出口等活动的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粮食经营者。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条 本办法所称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粮食行业信用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评价</w:t>
      </w:r>
      <w:r>
        <w:rPr>
          <w:rFonts w:ascii="Times New Roman" w:hAnsi="Times New Roman" w:eastAsia="仿宋_GB2312" w:cs="Times New Roman"/>
          <w:sz w:val="32"/>
          <w:szCs w:val="32"/>
        </w:rPr>
        <w:t>管理，是指粮食行政管理部门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（行政审批部门）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和中国天津粮油批发交易市场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（以下简称批发市场）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市粮食储备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（以下简称储备公司）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等公共服务企业事业单位对粮食经营者的信用信息开展的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采集、归集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、评价、公示和应用等活动。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粮食和物资局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我市粮食行业信用监管工作，建立天津市粮食行业信用监管平台，制定评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标准和相应管理办法，</w:t>
      </w:r>
      <w:r>
        <w:rPr>
          <w:rFonts w:ascii="Times New Roman" w:hAnsi="Times New Roman" w:eastAsia="仿宋_GB2312" w:cs="Times New Roman"/>
          <w:sz w:val="32"/>
          <w:szCs w:val="32"/>
        </w:rPr>
        <w:t>组织指导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各区</w:t>
      </w:r>
      <w:r>
        <w:rPr>
          <w:rFonts w:ascii="Times New Roman" w:hAnsi="Times New Roman" w:eastAsia="仿宋_GB2312" w:cs="Times New Roman"/>
          <w:sz w:val="32"/>
          <w:szCs w:val="32"/>
        </w:rPr>
        <w:t>粮食行政管理部门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（行政审批部门）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和批发市场、储备公司等公共服务企业事业单位</w:t>
      </w:r>
      <w:r>
        <w:rPr>
          <w:rFonts w:ascii="Times New Roman" w:hAnsi="Times New Roman" w:eastAsia="仿宋_GB2312" w:cs="Times New Roman"/>
          <w:sz w:val="32"/>
          <w:szCs w:val="32"/>
        </w:rPr>
        <w:t>做好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我市</w:t>
      </w:r>
      <w:r>
        <w:rPr>
          <w:rFonts w:ascii="Times New Roman" w:hAnsi="Times New Roman" w:eastAsia="仿宋_GB2312" w:cs="Times New Roman"/>
          <w:sz w:val="32"/>
          <w:szCs w:val="32"/>
        </w:rPr>
        <w:t>粮食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行业信用信息</w:t>
      </w:r>
      <w:r>
        <w:rPr>
          <w:rFonts w:ascii="Times New Roman" w:hAnsi="Times New Roman" w:eastAsia="仿宋_GB2312" w:cs="Times New Roman"/>
          <w:sz w:val="32"/>
          <w:szCs w:val="32"/>
        </w:rPr>
        <w:t>管理工作。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第五条 </w:t>
      </w:r>
      <w:r>
        <w:rPr>
          <w:rFonts w:ascii="Times New Roman" w:hAnsi="Times New Roman" w:eastAsia="仿宋_GB2312" w:cs="Times New Roman"/>
          <w:sz w:val="32"/>
          <w:szCs w:val="32"/>
        </w:rPr>
        <w:t>粮食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行业信用信息的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采集、归集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、评价、公示、应用和相关</w:t>
      </w:r>
      <w:r>
        <w:rPr>
          <w:rFonts w:ascii="Times New Roman" w:hAnsi="Times New Roman" w:eastAsia="仿宋_GB2312" w:cs="Times New Roman"/>
          <w:sz w:val="32"/>
          <w:szCs w:val="32"/>
        </w:rPr>
        <w:t>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活动，遵循合法公正、及时准确、标准统一、分级分类、动态管理的原则。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第六条 天津市粮食行业信用监管平台与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市信用信息共享平台建立信用管理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合作机制，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将信用评价结果推送至市信用信息共享平台，通过市信用信息共享平台向其他部门共享，供各部门参考使用，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推动信用分级监管。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第二章  信用信息的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采集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第七条 信用信息的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采集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工作按照“谁产生、谁记录”的原则，统一在天津市粮食行业信用监管平台进行。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第八条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记录失信信息应当以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粮食行政管理部门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（行政审批部门）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出具的具有法律效力的文书为依据。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第九条 粮食行业信用信息包括与粮食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经营者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信用有关的基础类信息、考核类信息、负面信息和正面信息。其中，负面信息为失信信息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第十条 基础类信息</w:t>
      </w:r>
      <w:r>
        <w:rPr>
          <w:rFonts w:ascii="Times New Roman" w:hAnsi="Times New Roman" w:eastAsia="仿宋_GB2312" w:cs="Times New Roman"/>
          <w:sz w:val="32"/>
          <w:szCs w:val="32"/>
        </w:rPr>
        <w:t>包括：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（一）企业基本信息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包括统一社会信用代码、企业名称、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经营范围、</w:t>
      </w:r>
      <w:r>
        <w:rPr>
          <w:rFonts w:ascii="Times New Roman" w:hAnsi="Times New Roman" w:eastAsia="仿宋_GB2312" w:cs="Times New Roman"/>
          <w:sz w:val="32"/>
          <w:szCs w:val="32"/>
        </w:rPr>
        <w:t>注册地址、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登记机关、</w:t>
      </w:r>
      <w:r>
        <w:rPr>
          <w:rFonts w:ascii="Times New Roman" w:hAnsi="Times New Roman" w:eastAsia="仿宋_GB2312" w:cs="Times New Roman"/>
          <w:sz w:val="32"/>
          <w:szCs w:val="32"/>
        </w:rPr>
        <w:t>法定代表人或主要负责人等；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（二）市场准入信息。包括粮食收购资格、军粮供应资格、储备粮承储资格、粮油仓储单位备案、应急加工企业等；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）其他与粮食流通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</w:t>
      </w:r>
      <w:r>
        <w:rPr>
          <w:rFonts w:ascii="Times New Roman" w:hAnsi="Times New Roman" w:eastAsia="仿宋_GB2312" w:cs="Times New Roman"/>
          <w:sz w:val="32"/>
          <w:szCs w:val="32"/>
        </w:rPr>
        <w:t>信用相关的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基础信息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第十一条 考核类信息包括：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（一）粮食经营信息。包括执行国家粮食购销、储存、轮换政策等情况。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（二）粮食统计信息。包括库存粮食统计账、记账凭证的真实性、完整性，以及账务处理规范性。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（三）粮食财务信息。包括库存粮食会计账、记账凭证的真实性、完整性，以及账务处理规范性和财务管理合规性。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（四）粮食资金信息。包括库存粮食银行贷款、现金、费用补贴等资金使用、管理等情况。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粮食仓储信息。包括库存粮食保管账、记账凭证的真实性、完整性和规范性，仓储作业（熏蒸、通风、测温等）及相关记录的规范性，执行粮情定期检查制度情况，库存粮食储存安全情况，粮食仓储设施完好情况，政策性粮食储存条件，粮食数量损耗情况，储粮安全事故及粮食损失情况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（六）粮食质量信息。包括粮食质量档案的完整性和规范性，执行粮食质量管理制度情况，库存粮食质量达标率、宜存率和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合格率等。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（七）安全生产信息。包括储粮药剂管理与使用情况，消防、用电、防汛措施落实情况，安全生产设施配置情况，作业区安全警示警卫情况，作业人员安全防护及用具配置情况等。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（八）合同履约信息。包括合同执行情况、交易纠纷情况等。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（九）</w:t>
      </w:r>
      <w:r>
        <w:rPr>
          <w:rFonts w:ascii="Times New Roman" w:hAnsi="Times New Roman" w:eastAsia="仿宋_GB2312" w:cs="Times New Roman"/>
          <w:sz w:val="32"/>
          <w:szCs w:val="32"/>
        </w:rPr>
        <w:t>其他与粮食流通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</w:t>
      </w:r>
      <w:r>
        <w:rPr>
          <w:rFonts w:ascii="Times New Roman" w:hAnsi="Times New Roman" w:eastAsia="仿宋_GB2312" w:cs="Times New Roman"/>
          <w:sz w:val="32"/>
          <w:szCs w:val="32"/>
        </w:rPr>
        <w:t>信用相关的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考核信息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第十二条 负面信息包括：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（一）粮食行政管理部门作出的行政处罚。包括警告、通报批评，罚款、没收违法所得、没收非法财物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以及暂停、取消粮食收购资格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其他与粮食流通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</w:t>
      </w:r>
      <w:r>
        <w:rPr>
          <w:rFonts w:ascii="Times New Roman" w:hAnsi="Times New Roman" w:eastAsia="仿宋_GB2312" w:cs="Times New Roman"/>
          <w:sz w:val="32"/>
          <w:szCs w:val="32"/>
        </w:rPr>
        <w:t>信用相关的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负面信息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第十三条 正面信息包括：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（一）奖励信息。包括粮食行政管理部门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、批发市场、储备公司等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颁发的荣誉称号、评优评先等奖励。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其他与粮食流通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</w:t>
      </w:r>
      <w:r>
        <w:rPr>
          <w:rFonts w:ascii="Times New Roman" w:hAnsi="Times New Roman" w:eastAsia="仿宋_GB2312" w:cs="Times New Roman"/>
          <w:sz w:val="32"/>
          <w:szCs w:val="32"/>
        </w:rPr>
        <w:t>信用相关的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正面信息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第十四条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鼓励粮食经营者通过信用中国（天津）等平台主动向社会作出公开信用承诺，信用承诺纳入市场主体信用记录，接受社会监督。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第</w:t>
      </w:r>
      <w:r>
        <w:rPr>
          <w:rFonts w:hint="eastAsia" w:ascii="黑体" w:hAnsi="黑体" w:eastAsia="黑体" w:cs="Times New Roman"/>
          <w:sz w:val="32"/>
          <w:szCs w:val="32"/>
        </w:rPr>
        <w:t>三</w:t>
      </w:r>
      <w:r>
        <w:rPr>
          <w:rFonts w:ascii="黑体" w:hAnsi="黑体" w:eastAsia="黑体" w:cs="Times New Roman"/>
          <w:sz w:val="32"/>
          <w:szCs w:val="32"/>
        </w:rPr>
        <w:t xml:space="preserve">章 </w:t>
      </w:r>
      <w:r>
        <w:rPr>
          <w:rFonts w:hint="eastAsia" w:ascii="黑体" w:hAnsi="黑体" w:eastAsia="黑体" w:cs="Times New Roman"/>
          <w:sz w:val="32"/>
          <w:szCs w:val="32"/>
        </w:rPr>
        <w:t>信用评价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 粮食行业信用评价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周期为一年，每年第一季度对粮食经营者上一年度信用状况开展评价。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第十六条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粮食行业信用评价采用千分制，满分为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按照诚信程度将粮食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经营者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信用等级从高到低依次分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为五个等级，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950分及以上为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（优秀）、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900分至949分为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B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（良好）、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750分至899分为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（中等）、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600分至749分为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D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（较差）、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600分以下为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E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（差）。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粮食行业信用评价指标由市粮食和物资局另行制定。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从事粮食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流通</w:t>
      </w:r>
      <w:r>
        <w:rPr>
          <w:rFonts w:ascii="Times New Roman" w:hAnsi="Times New Roman" w:eastAsia="仿宋_GB2312" w:cs="Times New Roman"/>
          <w:sz w:val="32"/>
          <w:szCs w:val="32"/>
        </w:rPr>
        <w:t>活动，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违反第十一条所列考核类信息有关规定的，应予以记录，并扣除相应分值。考核类信息扣除的分值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上限为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条 </w:t>
      </w:r>
      <w:r>
        <w:rPr>
          <w:rFonts w:ascii="Times New Roman" w:hAnsi="Times New Roman" w:eastAsia="仿宋_GB2312" w:cs="Times New Roman"/>
          <w:sz w:val="32"/>
          <w:szCs w:val="32"/>
        </w:rPr>
        <w:t>从事粮食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流通</w:t>
      </w:r>
      <w:r>
        <w:rPr>
          <w:rFonts w:ascii="Times New Roman" w:hAnsi="Times New Roman" w:eastAsia="仿宋_GB2312" w:cs="Times New Roman"/>
          <w:sz w:val="32"/>
          <w:szCs w:val="32"/>
        </w:rPr>
        <w:t>活动，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产生第十二条所列负面信息的，应予以记录，并扣除相应分值。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条 </w:t>
      </w:r>
      <w:r>
        <w:rPr>
          <w:rFonts w:ascii="Times New Roman" w:hAnsi="Times New Roman" w:eastAsia="仿宋_GB2312" w:cs="Times New Roman"/>
          <w:sz w:val="32"/>
          <w:szCs w:val="32"/>
        </w:rPr>
        <w:t>从事粮食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流通</w:t>
      </w:r>
      <w:r>
        <w:rPr>
          <w:rFonts w:ascii="Times New Roman" w:hAnsi="Times New Roman" w:eastAsia="仿宋_GB2312" w:cs="Times New Roman"/>
          <w:sz w:val="32"/>
          <w:szCs w:val="32"/>
        </w:rPr>
        <w:t>活动，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有下列情形之一的，信用等级直接判定为E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（差）：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严重破坏粮食流通市场秩序的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（二）严重危害政策性粮食承储安全的；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拒不履行粮食宏观调控、应急保障等法定义务，严重影响粮食行政管理部门公信力的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发生军粮断供，重大泄密责任事故的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（五）法律法规规章规定的其他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 考核类信用信息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有效期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年；负面信用信息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有效期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年；正面信用信息除信用主体申请删除外，按照信息源规定时限设定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有效期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；法律法规另有规定的除外。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信用信息有效期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自行为或者事件终止之日起计算。期限届满，该信息将从公开查询界面删除，不再对外提供查询，且不再作为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下一年度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信用评价的依据。法律法规另有规定的除外。</w:t>
      </w:r>
    </w:p>
    <w:p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第</w:t>
      </w:r>
      <w:r>
        <w:rPr>
          <w:rFonts w:hint="eastAsia" w:ascii="黑体" w:hAnsi="黑体" w:eastAsia="黑体" w:cs="Times New Roman"/>
          <w:sz w:val="32"/>
          <w:szCs w:val="32"/>
        </w:rPr>
        <w:t>四</w:t>
      </w:r>
      <w:r>
        <w:rPr>
          <w:rFonts w:ascii="黑体" w:hAnsi="黑体" w:eastAsia="黑体" w:cs="Times New Roman"/>
          <w:sz w:val="32"/>
          <w:szCs w:val="32"/>
        </w:rPr>
        <w:t>章</w:t>
      </w:r>
      <w:r>
        <w:rPr>
          <w:rFonts w:hint="eastAsia" w:ascii="黑体" w:hAnsi="黑体" w:eastAsia="黑体" w:cs="Times New Roman"/>
          <w:sz w:val="32"/>
          <w:szCs w:val="32"/>
        </w:rPr>
        <w:t xml:space="preserve"> 守信激励和失信惩戒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第二十一条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信用等级为A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（优秀）的粮食经营者，</w:t>
      </w:r>
      <w:r>
        <w:rPr>
          <w:rFonts w:ascii="Times New Roman" w:hAnsi="Times New Roman" w:eastAsia="仿宋_GB2312" w:cs="Times New Roman"/>
          <w:sz w:val="32"/>
          <w:szCs w:val="32"/>
        </w:rPr>
        <w:t>粮食行政管理部门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（行政审批部门）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可以采取以下激励措施：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（一）在办理粮食收购资格许可中，享受承诺制审批等便利措施；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（二）在粮食领域财政性资金和项目支持中，同等条件下列为优先选择对象；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（三）在粮食领域评优评先时，同等条件下列为优先选择对象；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（四）在安排地方储备粮及政策性粮食收储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任务、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轮换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时，同等条件下列为优先选择对象；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（五）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在双随机检查时，被抽取的概率设置为正常概率的30%；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）法律法规规章规定的其他激励措施。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第二十二条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信用等级为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良好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）的粮食经营者，</w:t>
      </w:r>
      <w:r>
        <w:rPr>
          <w:rFonts w:ascii="Times New Roman" w:hAnsi="Times New Roman" w:eastAsia="仿宋_GB2312" w:cs="Times New Roman"/>
          <w:sz w:val="32"/>
          <w:szCs w:val="32"/>
        </w:rPr>
        <w:t>粮食行政管理部门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（行政审批部门）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可以采取以下激励措施：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（一）在办理粮食收购资格许可中，享受承诺制审批等便利措施；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在双随机检查时，被抽取的概率设置为正常概率的50%；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）法律法规规章规定的其他激励措施。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第二十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 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信用等级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较差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）的粮食经营者，</w:t>
      </w:r>
      <w:r>
        <w:rPr>
          <w:rFonts w:ascii="Times New Roman" w:hAnsi="Times New Roman" w:eastAsia="仿宋_GB2312" w:cs="Times New Roman"/>
          <w:sz w:val="32"/>
          <w:szCs w:val="32"/>
        </w:rPr>
        <w:t>粮食行政管理部门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（行政审批部门）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可以采取以下惩戒措施：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（一）在办理粮食收购资格许可中，不予享受承诺制审批等便利措施；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（二）列为重点监管对象，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在双随机检查时，被抽取的概率设置为正常概率的150%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（三）对失信的粮食经营者进行约谈，约谈情况应记入信用记录；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（四）在粮食领域评优评先时，应适当扣减分值；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（五）法律法规规章规定的其他惩戒措施。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第二十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 对于信用等级为E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级（差）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的粮食经营者，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除给予第二十三条（一）、（三）、（四）项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惩戒措施外，</w:t>
      </w:r>
      <w:r>
        <w:rPr>
          <w:rFonts w:ascii="Times New Roman" w:hAnsi="Times New Roman" w:eastAsia="仿宋_GB2312" w:cs="Times New Roman"/>
          <w:sz w:val="32"/>
          <w:szCs w:val="32"/>
        </w:rPr>
        <w:t>粮食行政管理部门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（行政审批部门）还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可以采取以下惩戒措施：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（一）根据实际情况，限制进入粮食收购、军粮供应、应急保障、政策性粮食承储等领域中的一种或多种；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（二）限制享受粮食领域相关扶持政策；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（三）限制获得粮食领域相关荣誉称号；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（四）在日常监管中，列为重点监管对象，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每年至少进行一次现场检查。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（五）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在双随机检查时，被抽取的概率设置为正常概率的200%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（六）建议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粮食行业协会等组织、机构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限制该粮食经营者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法定代表人担任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职务；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（七）建议批发市场对该粮食经营者采取适当增加保证金、限制参加交易活动等措施；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）法律法规规章规定的其他惩戒措施。</w:t>
      </w:r>
    </w:p>
    <w:p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第</w:t>
      </w:r>
      <w:r>
        <w:rPr>
          <w:rFonts w:hint="eastAsia" w:ascii="黑体" w:hAnsi="黑体" w:eastAsia="黑体" w:cs="Times New Roman"/>
          <w:sz w:val="32"/>
          <w:szCs w:val="32"/>
        </w:rPr>
        <w:t>五</w:t>
      </w:r>
      <w:r>
        <w:rPr>
          <w:rFonts w:ascii="黑体" w:hAnsi="黑体" w:eastAsia="黑体" w:cs="Times New Roman"/>
          <w:sz w:val="32"/>
          <w:szCs w:val="32"/>
        </w:rPr>
        <w:t>章</w:t>
      </w: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权益保护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在查询期限内，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信用主体对信用信息有异议的，可向该信息产生单位以书面形式提出异议申诉并提供证据材料。信息产生单位应当在收到异议申诉之日起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10个工作日内进行核实并作出处理，将核实结果告知信用主体，并将核实后的信息记录同步至市信用信息共享平台。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第二十六条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信用信息有效期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信用主体对行政处罚信息进行信用修复的，应当向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“信用中国”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网站提出信用修复申请，处理程序从其规定。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第六章</w:t>
      </w:r>
      <w:r>
        <w:rPr>
          <w:rFonts w:hint="eastAsia" w:ascii="黑体" w:hAnsi="黑体" w:eastAsia="黑体" w:cs="Times New Roman"/>
          <w:sz w:val="32"/>
          <w:szCs w:val="32"/>
        </w:rPr>
        <w:t xml:space="preserve">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二十七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有关信用评价管理及法律责任等未尽事宜，依照《天津市社会信用条例》执行。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二十八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本办法由天津市粮食和物资储备局负责解释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方正小标宋_GBK" w:hAnsi="Times New Roman" w:eastAsia="方正小标宋_GBK" w:cs="Times New Roman"/>
          <w:sz w:val="24"/>
          <w:szCs w:val="15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二十九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本办法自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*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*</w:t>
      </w:r>
      <w:r>
        <w:rPr>
          <w:rFonts w:ascii="Times New Roman" w:hAnsi="Times New Roman" w:eastAsia="仿宋_GB2312" w:cs="Times New Roman"/>
          <w:sz w:val="32"/>
          <w:szCs w:val="32"/>
        </w:rPr>
        <w:t>日起施行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，有效期两年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5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3146040"/>
      <w:docPartObj>
        <w:docPartGallery w:val="autotext"/>
      </w:docPartObj>
    </w:sdtPr>
    <w:sdtEndPr>
      <w:rPr>
        <w:rFonts w:asciiTheme="minorEastAsia" w:hAnsiTheme="minorEastAsia"/>
        <w:sz w:val="24"/>
      </w:rPr>
    </w:sdtEndPr>
    <w:sdtContent>
      <w:p>
        <w:pPr>
          <w:pStyle w:val="3"/>
          <w:wordWrap w:val="0"/>
          <w:jc w:val="right"/>
          <w:rPr>
            <w:rFonts w:asciiTheme="minorEastAsia" w:hAnsiTheme="minorEastAsia"/>
            <w:sz w:val="24"/>
          </w:rPr>
        </w:pPr>
        <w:r>
          <w:rPr>
            <w:rFonts w:asciiTheme="minorEastAsia" w:hAnsiTheme="minorEastAsia"/>
            <w:sz w:val="24"/>
          </w:rPr>
          <w:fldChar w:fldCharType="begin"/>
        </w:r>
        <w:r>
          <w:rPr>
            <w:rFonts w:asciiTheme="minorEastAsia" w:hAnsiTheme="minorEastAsia"/>
            <w:sz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</w:rPr>
          <w:fldChar w:fldCharType="separate"/>
        </w:r>
        <w:r>
          <w:rPr>
            <w:rFonts w:asciiTheme="minorEastAsia" w:hAnsiTheme="minorEastAsia"/>
            <w:sz w:val="24"/>
            <w:lang w:val="zh-CN"/>
          </w:rPr>
          <w:t>-</w:t>
        </w:r>
        <w:r>
          <w:rPr>
            <w:rFonts w:asciiTheme="minorEastAsia" w:hAnsiTheme="minorEastAsia"/>
            <w:sz w:val="24"/>
          </w:rPr>
          <w:t xml:space="preserve"> 1 -</w:t>
        </w:r>
        <w:r>
          <w:rPr>
            <w:rFonts w:asciiTheme="minorEastAsia" w:hAnsiTheme="minorEastAsia"/>
            <w:sz w:val="24"/>
          </w:rPr>
          <w:fldChar w:fldCharType="end"/>
        </w:r>
        <w:r>
          <w:rPr>
            <w:rFonts w:hint="eastAsia" w:asciiTheme="minorEastAsia" w:hAnsiTheme="minorEastAsia"/>
            <w:sz w:val="24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6445825"/>
      <w:docPartObj>
        <w:docPartGallery w:val="autotext"/>
      </w:docPartObj>
    </w:sdtPr>
    <w:sdtEndPr>
      <w:rPr>
        <w:rFonts w:asciiTheme="minorEastAsia" w:hAnsiTheme="minorEastAsia"/>
        <w:sz w:val="24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sz w:val="24"/>
          </w:rPr>
        </w:pPr>
        <w:r>
          <w:rPr>
            <w:rFonts w:asciiTheme="minorEastAsia" w:hAnsiTheme="minorEastAsia"/>
            <w:sz w:val="24"/>
          </w:rPr>
          <w:fldChar w:fldCharType="begin"/>
        </w:r>
        <w:r>
          <w:rPr>
            <w:rFonts w:asciiTheme="minorEastAsia" w:hAnsiTheme="minorEastAsia"/>
            <w:sz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</w:rPr>
          <w:fldChar w:fldCharType="separate"/>
        </w:r>
        <w:r>
          <w:rPr>
            <w:rFonts w:asciiTheme="minorEastAsia" w:hAnsiTheme="minorEastAsia"/>
            <w:sz w:val="24"/>
            <w:lang w:val="zh-CN"/>
          </w:rPr>
          <w:t>-</w:t>
        </w:r>
        <w:r>
          <w:rPr>
            <w:rFonts w:asciiTheme="minorEastAsia" w:hAnsiTheme="minorEastAsia"/>
            <w:sz w:val="24"/>
          </w:rPr>
          <w:t xml:space="preserve"> 2 -</w:t>
        </w:r>
        <w:r>
          <w:rPr>
            <w:rFonts w:asciiTheme="minorEastAsia" w:hAnsiTheme="minorEastAsia"/>
            <w:sz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24"/>
    <w:rsid w:val="0001371C"/>
    <w:rsid w:val="00015281"/>
    <w:rsid w:val="00023449"/>
    <w:rsid w:val="00025131"/>
    <w:rsid w:val="000255DE"/>
    <w:rsid w:val="00050482"/>
    <w:rsid w:val="00052B24"/>
    <w:rsid w:val="0005331F"/>
    <w:rsid w:val="0007574C"/>
    <w:rsid w:val="00080D46"/>
    <w:rsid w:val="000917A2"/>
    <w:rsid w:val="000A4DDC"/>
    <w:rsid w:val="000A635A"/>
    <w:rsid w:val="000A6C0B"/>
    <w:rsid w:val="000C28CB"/>
    <w:rsid w:val="000C5D0C"/>
    <w:rsid w:val="000D17FE"/>
    <w:rsid w:val="000D4800"/>
    <w:rsid w:val="000E13F0"/>
    <w:rsid w:val="000E3E2C"/>
    <w:rsid w:val="000F2F28"/>
    <w:rsid w:val="000F369B"/>
    <w:rsid w:val="000F52E7"/>
    <w:rsid w:val="0010216B"/>
    <w:rsid w:val="00102857"/>
    <w:rsid w:val="00122CA6"/>
    <w:rsid w:val="00122D5A"/>
    <w:rsid w:val="00127540"/>
    <w:rsid w:val="00132BFE"/>
    <w:rsid w:val="0013349D"/>
    <w:rsid w:val="001375F8"/>
    <w:rsid w:val="0014650B"/>
    <w:rsid w:val="00147F62"/>
    <w:rsid w:val="0015588A"/>
    <w:rsid w:val="00156829"/>
    <w:rsid w:val="001601BF"/>
    <w:rsid w:val="00163829"/>
    <w:rsid w:val="0016768A"/>
    <w:rsid w:val="00181727"/>
    <w:rsid w:val="00183F7D"/>
    <w:rsid w:val="00192D6D"/>
    <w:rsid w:val="00193AE6"/>
    <w:rsid w:val="0019542A"/>
    <w:rsid w:val="00195A9F"/>
    <w:rsid w:val="001A5A46"/>
    <w:rsid w:val="001A7F83"/>
    <w:rsid w:val="001C1E14"/>
    <w:rsid w:val="001D33EF"/>
    <w:rsid w:val="001D3AF1"/>
    <w:rsid w:val="001D6B36"/>
    <w:rsid w:val="001E399D"/>
    <w:rsid w:val="001E631B"/>
    <w:rsid w:val="001F112E"/>
    <w:rsid w:val="001F2FDF"/>
    <w:rsid w:val="001F723D"/>
    <w:rsid w:val="00200416"/>
    <w:rsid w:val="0020394E"/>
    <w:rsid w:val="00203B44"/>
    <w:rsid w:val="00212816"/>
    <w:rsid w:val="002134A5"/>
    <w:rsid w:val="00217951"/>
    <w:rsid w:val="0023472A"/>
    <w:rsid w:val="0024299D"/>
    <w:rsid w:val="00273C6D"/>
    <w:rsid w:val="00280CE0"/>
    <w:rsid w:val="0028119D"/>
    <w:rsid w:val="00293030"/>
    <w:rsid w:val="002A402B"/>
    <w:rsid w:val="002B6446"/>
    <w:rsid w:val="002B79A3"/>
    <w:rsid w:val="002E01DA"/>
    <w:rsid w:val="002E3C73"/>
    <w:rsid w:val="002E7383"/>
    <w:rsid w:val="002F65FF"/>
    <w:rsid w:val="00303949"/>
    <w:rsid w:val="00305ED2"/>
    <w:rsid w:val="0031404D"/>
    <w:rsid w:val="00324975"/>
    <w:rsid w:val="00325556"/>
    <w:rsid w:val="00330E11"/>
    <w:rsid w:val="003356DB"/>
    <w:rsid w:val="00335D82"/>
    <w:rsid w:val="003376CA"/>
    <w:rsid w:val="003452AF"/>
    <w:rsid w:val="0034735E"/>
    <w:rsid w:val="00347798"/>
    <w:rsid w:val="003550F7"/>
    <w:rsid w:val="00356394"/>
    <w:rsid w:val="0036155F"/>
    <w:rsid w:val="0036248A"/>
    <w:rsid w:val="00383BD0"/>
    <w:rsid w:val="00385CF5"/>
    <w:rsid w:val="00386A23"/>
    <w:rsid w:val="003951B4"/>
    <w:rsid w:val="0039545D"/>
    <w:rsid w:val="003F23CF"/>
    <w:rsid w:val="003F2480"/>
    <w:rsid w:val="003F369C"/>
    <w:rsid w:val="003F4959"/>
    <w:rsid w:val="0041342A"/>
    <w:rsid w:val="004165EB"/>
    <w:rsid w:val="00443781"/>
    <w:rsid w:val="0044474C"/>
    <w:rsid w:val="00446D00"/>
    <w:rsid w:val="00452755"/>
    <w:rsid w:val="00463EEA"/>
    <w:rsid w:val="00464365"/>
    <w:rsid w:val="004732A7"/>
    <w:rsid w:val="00480CCB"/>
    <w:rsid w:val="0048212A"/>
    <w:rsid w:val="00484F61"/>
    <w:rsid w:val="004A01EE"/>
    <w:rsid w:val="004B6A74"/>
    <w:rsid w:val="004C7422"/>
    <w:rsid w:val="004E3277"/>
    <w:rsid w:val="004F002A"/>
    <w:rsid w:val="004F7F23"/>
    <w:rsid w:val="00500C8D"/>
    <w:rsid w:val="00513740"/>
    <w:rsid w:val="005152C9"/>
    <w:rsid w:val="0052163A"/>
    <w:rsid w:val="005216EA"/>
    <w:rsid w:val="00521805"/>
    <w:rsid w:val="00523614"/>
    <w:rsid w:val="00535E18"/>
    <w:rsid w:val="00541176"/>
    <w:rsid w:val="00544171"/>
    <w:rsid w:val="005644DA"/>
    <w:rsid w:val="00573E11"/>
    <w:rsid w:val="00575553"/>
    <w:rsid w:val="005810BA"/>
    <w:rsid w:val="00581631"/>
    <w:rsid w:val="0058667F"/>
    <w:rsid w:val="00590DEA"/>
    <w:rsid w:val="005971F3"/>
    <w:rsid w:val="005A0F77"/>
    <w:rsid w:val="005A352D"/>
    <w:rsid w:val="005B2B5D"/>
    <w:rsid w:val="005B3DFF"/>
    <w:rsid w:val="005C0137"/>
    <w:rsid w:val="005D730E"/>
    <w:rsid w:val="00602868"/>
    <w:rsid w:val="0060495D"/>
    <w:rsid w:val="00607806"/>
    <w:rsid w:val="00617A02"/>
    <w:rsid w:val="006208B7"/>
    <w:rsid w:val="006241A2"/>
    <w:rsid w:val="00630400"/>
    <w:rsid w:val="0063178A"/>
    <w:rsid w:val="0063357A"/>
    <w:rsid w:val="006350AC"/>
    <w:rsid w:val="00636266"/>
    <w:rsid w:val="006477A5"/>
    <w:rsid w:val="0065374F"/>
    <w:rsid w:val="00665AEB"/>
    <w:rsid w:val="00681263"/>
    <w:rsid w:val="00683925"/>
    <w:rsid w:val="00692056"/>
    <w:rsid w:val="006A1AA7"/>
    <w:rsid w:val="006A5923"/>
    <w:rsid w:val="006B3BEA"/>
    <w:rsid w:val="006B5192"/>
    <w:rsid w:val="006B6170"/>
    <w:rsid w:val="006B76E9"/>
    <w:rsid w:val="006E6989"/>
    <w:rsid w:val="006F56FF"/>
    <w:rsid w:val="00700A80"/>
    <w:rsid w:val="007041D3"/>
    <w:rsid w:val="0070616F"/>
    <w:rsid w:val="007102D9"/>
    <w:rsid w:val="007213EC"/>
    <w:rsid w:val="00721DA3"/>
    <w:rsid w:val="00723C25"/>
    <w:rsid w:val="00730D05"/>
    <w:rsid w:val="0073665A"/>
    <w:rsid w:val="00742ADD"/>
    <w:rsid w:val="00743642"/>
    <w:rsid w:val="00746571"/>
    <w:rsid w:val="00750DCE"/>
    <w:rsid w:val="00753A77"/>
    <w:rsid w:val="0077518B"/>
    <w:rsid w:val="007846AA"/>
    <w:rsid w:val="0079200E"/>
    <w:rsid w:val="007A57E6"/>
    <w:rsid w:val="007A6CAB"/>
    <w:rsid w:val="007B3542"/>
    <w:rsid w:val="007B48C0"/>
    <w:rsid w:val="007D0B02"/>
    <w:rsid w:val="007D2F37"/>
    <w:rsid w:val="007E027E"/>
    <w:rsid w:val="007E4ADB"/>
    <w:rsid w:val="00801394"/>
    <w:rsid w:val="008129C0"/>
    <w:rsid w:val="0082753F"/>
    <w:rsid w:val="0083220C"/>
    <w:rsid w:val="008323CC"/>
    <w:rsid w:val="0083398E"/>
    <w:rsid w:val="00843EE1"/>
    <w:rsid w:val="00846F56"/>
    <w:rsid w:val="008501B5"/>
    <w:rsid w:val="00871ED5"/>
    <w:rsid w:val="00872004"/>
    <w:rsid w:val="008760B8"/>
    <w:rsid w:val="00882499"/>
    <w:rsid w:val="00886729"/>
    <w:rsid w:val="008964DA"/>
    <w:rsid w:val="008A1596"/>
    <w:rsid w:val="008A591F"/>
    <w:rsid w:val="008A77AB"/>
    <w:rsid w:val="008B19F5"/>
    <w:rsid w:val="008B2F70"/>
    <w:rsid w:val="008B3CEF"/>
    <w:rsid w:val="008C706A"/>
    <w:rsid w:val="00901BE7"/>
    <w:rsid w:val="00913C3F"/>
    <w:rsid w:val="00925D84"/>
    <w:rsid w:val="00927121"/>
    <w:rsid w:val="0093179F"/>
    <w:rsid w:val="009352D4"/>
    <w:rsid w:val="009452C2"/>
    <w:rsid w:val="00952FFA"/>
    <w:rsid w:val="009621B8"/>
    <w:rsid w:val="00963D44"/>
    <w:rsid w:val="009703D3"/>
    <w:rsid w:val="00981EDA"/>
    <w:rsid w:val="009902CC"/>
    <w:rsid w:val="00994FCE"/>
    <w:rsid w:val="009A51AA"/>
    <w:rsid w:val="009A70DA"/>
    <w:rsid w:val="009B2B53"/>
    <w:rsid w:val="009D5E18"/>
    <w:rsid w:val="009D78CA"/>
    <w:rsid w:val="009E047A"/>
    <w:rsid w:val="009F53A6"/>
    <w:rsid w:val="00A12368"/>
    <w:rsid w:val="00A13971"/>
    <w:rsid w:val="00A27D42"/>
    <w:rsid w:val="00A4392A"/>
    <w:rsid w:val="00A563FA"/>
    <w:rsid w:val="00A65797"/>
    <w:rsid w:val="00A66D9E"/>
    <w:rsid w:val="00A66EDD"/>
    <w:rsid w:val="00A71960"/>
    <w:rsid w:val="00A7690E"/>
    <w:rsid w:val="00A86F7D"/>
    <w:rsid w:val="00A91B36"/>
    <w:rsid w:val="00AA184E"/>
    <w:rsid w:val="00AA760A"/>
    <w:rsid w:val="00AB235D"/>
    <w:rsid w:val="00AB2D83"/>
    <w:rsid w:val="00AC7C4B"/>
    <w:rsid w:val="00AD00BE"/>
    <w:rsid w:val="00AD5B7C"/>
    <w:rsid w:val="00AD6FE6"/>
    <w:rsid w:val="00AE005B"/>
    <w:rsid w:val="00AE6905"/>
    <w:rsid w:val="00AF1103"/>
    <w:rsid w:val="00AF31EE"/>
    <w:rsid w:val="00AF4947"/>
    <w:rsid w:val="00B027CA"/>
    <w:rsid w:val="00B12034"/>
    <w:rsid w:val="00B24899"/>
    <w:rsid w:val="00B37D2B"/>
    <w:rsid w:val="00B40E9C"/>
    <w:rsid w:val="00B45BFB"/>
    <w:rsid w:val="00B45CE7"/>
    <w:rsid w:val="00B55CB2"/>
    <w:rsid w:val="00B62E03"/>
    <w:rsid w:val="00B64030"/>
    <w:rsid w:val="00B83D19"/>
    <w:rsid w:val="00B840C5"/>
    <w:rsid w:val="00B940AF"/>
    <w:rsid w:val="00B97B81"/>
    <w:rsid w:val="00BA2FAE"/>
    <w:rsid w:val="00BB3DB1"/>
    <w:rsid w:val="00BD5745"/>
    <w:rsid w:val="00BD7627"/>
    <w:rsid w:val="00BE04BF"/>
    <w:rsid w:val="00BE5516"/>
    <w:rsid w:val="00BE5AA6"/>
    <w:rsid w:val="00BF4825"/>
    <w:rsid w:val="00BF5F52"/>
    <w:rsid w:val="00C03605"/>
    <w:rsid w:val="00C04C23"/>
    <w:rsid w:val="00C07900"/>
    <w:rsid w:val="00C07E0E"/>
    <w:rsid w:val="00C1398E"/>
    <w:rsid w:val="00C24CC0"/>
    <w:rsid w:val="00C3510F"/>
    <w:rsid w:val="00C41753"/>
    <w:rsid w:val="00C41ADA"/>
    <w:rsid w:val="00C543FB"/>
    <w:rsid w:val="00C57924"/>
    <w:rsid w:val="00C57C51"/>
    <w:rsid w:val="00C738F0"/>
    <w:rsid w:val="00C750E4"/>
    <w:rsid w:val="00C828C5"/>
    <w:rsid w:val="00C82A7E"/>
    <w:rsid w:val="00C85642"/>
    <w:rsid w:val="00C96988"/>
    <w:rsid w:val="00C96E1F"/>
    <w:rsid w:val="00CA125D"/>
    <w:rsid w:val="00CA4F1E"/>
    <w:rsid w:val="00CA53FA"/>
    <w:rsid w:val="00CC3124"/>
    <w:rsid w:val="00CC7242"/>
    <w:rsid w:val="00CC7BF5"/>
    <w:rsid w:val="00CD72C7"/>
    <w:rsid w:val="00CE313B"/>
    <w:rsid w:val="00CF61AB"/>
    <w:rsid w:val="00CF6987"/>
    <w:rsid w:val="00D008E3"/>
    <w:rsid w:val="00D07898"/>
    <w:rsid w:val="00D07C3D"/>
    <w:rsid w:val="00D139C6"/>
    <w:rsid w:val="00D146CC"/>
    <w:rsid w:val="00D1746B"/>
    <w:rsid w:val="00D32777"/>
    <w:rsid w:val="00D40F7E"/>
    <w:rsid w:val="00D428DE"/>
    <w:rsid w:val="00D4695A"/>
    <w:rsid w:val="00D46AAF"/>
    <w:rsid w:val="00D51CFF"/>
    <w:rsid w:val="00D51F21"/>
    <w:rsid w:val="00D52855"/>
    <w:rsid w:val="00D549E8"/>
    <w:rsid w:val="00D66899"/>
    <w:rsid w:val="00D72F68"/>
    <w:rsid w:val="00D73635"/>
    <w:rsid w:val="00D8409D"/>
    <w:rsid w:val="00D84EEE"/>
    <w:rsid w:val="00D90EFB"/>
    <w:rsid w:val="00D922D3"/>
    <w:rsid w:val="00DB6606"/>
    <w:rsid w:val="00DC6BA8"/>
    <w:rsid w:val="00DD2253"/>
    <w:rsid w:val="00DD5FCA"/>
    <w:rsid w:val="00DE14A2"/>
    <w:rsid w:val="00DE763C"/>
    <w:rsid w:val="00DF4233"/>
    <w:rsid w:val="00DF7659"/>
    <w:rsid w:val="00E0547A"/>
    <w:rsid w:val="00E0793A"/>
    <w:rsid w:val="00E14796"/>
    <w:rsid w:val="00E152B2"/>
    <w:rsid w:val="00E22EA2"/>
    <w:rsid w:val="00E24915"/>
    <w:rsid w:val="00E25B29"/>
    <w:rsid w:val="00E33EEB"/>
    <w:rsid w:val="00E47362"/>
    <w:rsid w:val="00E477A8"/>
    <w:rsid w:val="00E51EE8"/>
    <w:rsid w:val="00E522F2"/>
    <w:rsid w:val="00E56245"/>
    <w:rsid w:val="00E667CF"/>
    <w:rsid w:val="00E668AF"/>
    <w:rsid w:val="00E77B02"/>
    <w:rsid w:val="00E852B2"/>
    <w:rsid w:val="00E86EAD"/>
    <w:rsid w:val="00E87CCF"/>
    <w:rsid w:val="00EA473F"/>
    <w:rsid w:val="00EB2EAF"/>
    <w:rsid w:val="00EB63F3"/>
    <w:rsid w:val="00EB6BB8"/>
    <w:rsid w:val="00EC5DFC"/>
    <w:rsid w:val="00EE36C7"/>
    <w:rsid w:val="00EF2653"/>
    <w:rsid w:val="00F12DBF"/>
    <w:rsid w:val="00F13DC0"/>
    <w:rsid w:val="00F1509D"/>
    <w:rsid w:val="00F25D2D"/>
    <w:rsid w:val="00F25E75"/>
    <w:rsid w:val="00F26CF2"/>
    <w:rsid w:val="00F31983"/>
    <w:rsid w:val="00F33439"/>
    <w:rsid w:val="00F33CB1"/>
    <w:rsid w:val="00F34571"/>
    <w:rsid w:val="00F518F5"/>
    <w:rsid w:val="00F5273A"/>
    <w:rsid w:val="00F62C1B"/>
    <w:rsid w:val="00F65834"/>
    <w:rsid w:val="00F65C97"/>
    <w:rsid w:val="00F727B2"/>
    <w:rsid w:val="00F738C4"/>
    <w:rsid w:val="00F76D95"/>
    <w:rsid w:val="00F80F67"/>
    <w:rsid w:val="00FA0696"/>
    <w:rsid w:val="00FA1FC2"/>
    <w:rsid w:val="00FB2C29"/>
    <w:rsid w:val="00FB3DE1"/>
    <w:rsid w:val="00FB7528"/>
    <w:rsid w:val="00FC2881"/>
    <w:rsid w:val="00FC649B"/>
    <w:rsid w:val="00FD3299"/>
    <w:rsid w:val="00FE37FA"/>
    <w:rsid w:val="00FE4503"/>
    <w:rsid w:val="00FE485C"/>
    <w:rsid w:val="00FE488D"/>
    <w:rsid w:val="00FE7F18"/>
    <w:rsid w:val="00FF068B"/>
    <w:rsid w:val="00FF0CD1"/>
    <w:rsid w:val="00FF24F4"/>
    <w:rsid w:val="00FF3A09"/>
    <w:rsid w:val="06FD3C98"/>
    <w:rsid w:val="07FF7961"/>
    <w:rsid w:val="08F7FCE5"/>
    <w:rsid w:val="17FF2550"/>
    <w:rsid w:val="18156FA5"/>
    <w:rsid w:val="1C9BF803"/>
    <w:rsid w:val="1D6B5745"/>
    <w:rsid w:val="1D7E9288"/>
    <w:rsid w:val="1DA56EE6"/>
    <w:rsid w:val="1F7E7C4F"/>
    <w:rsid w:val="1FC7D3D1"/>
    <w:rsid w:val="1FDBA5A3"/>
    <w:rsid w:val="1FFCA365"/>
    <w:rsid w:val="1FFE3AE5"/>
    <w:rsid w:val="22EE5209"/>
    <w:rsid w:val="25D1C1A7"/>
    <w:rsid w:val="25FC290A"/>
    <w:rsid w:val="27FE92D9"/>
    <w:rsid w:val="2AFF3F76"/>
    <w:rsid w:val="2B1E5158"/>
    <w:rsid w:val="2BEB4A4F"/>
    <w:rsid w:val="2CF71CB7"/>
    <w:rsid w:val="2CFF0899"/>
    <w:rsid w:val="2DD70DF2"/>
    <w:rsid w:val="2DF13CBD"/>
    <w:rsid w:val="2F7ECEE3"/>
    <w:rsid w:val="2FEF5530"/>
    <w:rsid w:val="2FFFA6CC"/>
    <w:rsid w:val="31AB8A59"/>
    <w:rsid w:val="333BCA2F"/>
    <w:rsid w:val="336AD66E"/>
    <w:rsid w:val="34FA242C"/>
    <w:rsid w:val="36DFC307"/>
    <w:rsid w:val="373F0DAA"/>
    <w:rsid w:val="3775210B"/>
    <w:rsid w:val="37DD3854"/>
    <w:rsid w:val="37DF15CE"/>
    <w:rsid w:val="37EE66E3"/>
    <w:rsid w:val="39476DE7"/>
    <w:rsid w:val="395E554D"/>
    <w:rsid w:val="39FF4F9C"/>
    <w:rsid w:val="3AAEAFB6"/>
    <w:rsid w:val="3ACF8AB8"/>
    <w:rsid w:val="3AF7667E"/>
    <w:rsid w:val="3B4F1EA1"/>
    <w:rsid w:val="3BFE5B14"/>
    <w:rsid w:val="3BFF2820"/>
    <w:rsid w:val="3C3D6786"/>
    <w:rsid w:val="3D3F00A9"/>
    <w:rsid w:val="3D5D8153"/>
    <w:rsid w:val="3DEDF583"/>
    <w:rsid w:val="3DF5F1E0"/>
    <w:rsid w:val="3DFFBA12"/>
    <w:rsid w:val="3EB9ADE4"/>
    <w:rsid w:val="3EFD4FB3"/>
    <w:rsid w:val="3EFF7FD8"/>
    <w:rsid w:val="3F5D33DF"/>
    <w:rsid w:val="3F759CCD"/>
    <w:rsid w:val="3FBD0535"/>
    <w:rsid w:val="3FBEC60A"/>
    <w:rsid w:val="3FD58E43"/>
    <w:rsid w:val="3FED78F6"/>
    <w:rsid w:val="3FF7E64E"/>
    <w:rsid w:val="3FFF3116"/>
    <w:rsid w:val="3FFFFF13"/>
    <w:rsid w:val="4790D06F"/>
    <w:rsid w:val="47BF666E"/>
    <w:rsid w:val="47FFBF67"/>
    <w:rsid w:val="4ADD7395"/>
    <w:rsid w:val="4ADFFFBC"/>
    <w:rsid w:val="4BBF9829"/>
    <w:rsid w:val="4BED976E"/>
    <w:rsid w:val="4BFB5B7C"/>
    <w:rsid w:val="4CDF3AD5"/>
    <w:rsid w:val="4DAFB81A"/>
    <w:rsid w:val="4EBFBB00"/>
    <w:rsid w:val="4F1FAE4D"/>
    <w:rsid w:val="4FE1EEA0"/>
    <w:rsid w:val="4FFE3F84"/>
    <w:rsid w:val="4FFE9FB6"/>
    <w:rsid w:val="52FB32AE"/>
    <w:rsid w:val="5337997C"/>
    <w:rsid w:val="538BE242"/>
    <w:rsid w:val="539BCA3E"/>
    <w:rsid w:val="55AE4206"/>
    <w:rsid w:val="55CBCE3D"/>
    <w:rsid w:val="55F709A5"/>
    <w:rsid w:val="56FFE0BE"/>
    <w:rsid w:val="57BE6646"/>
    <w:rsid w:val="57FF0D44"/>
    <w:rsid w:val="57FF8374"/>
    <w:rsid w:val="57FFE869"/>
    <w:rsid w:val="5879C2C5"/>
    <w:rsid w:val="597D2B5E"/>
    <w:rsid w:val="59EE3C68"/>
    <w:rsid w:val="5AAB1712"/>
    <w:rsid w:val="5B7FAED2"/>
    <w:rsid w:val="5B9652CA"/>
    <w:rsid w:val="5BABCAB9"/>
    <w:rsid w:val="5BBFDFCF"/>
    <w:rsid w:val="5BD5AF59"/>
    <w:rsid w:val="5BFB972C"/>
    <w:rsid w:val="5BFC9500"/>
    <w:rsid w:val="5BFFA5D9"/>
    <w:rsid w:val="5CADCB5D"/>
    <w:rsid w:val="5CD78860"/>
    <w:rsid w:val="5CE3A1BE"/>
    <w:rsid w:val="5CF56503"/>
    <w:rsid w:val="5D2F7C29"/>
    <w:rsid w:val="5DA9D31D"/>
    <w:rsid w:val="5DC7E0E3"/>
    <w:rsid w:val="5DD6DB88"/>
    <w:rsid w:val="5DEBE800"/>
    <w:rsid w:val="5DEBEBDD"/>
    <w:rsid w:val="5DEEA254"/>
    <w:rsid w:val="5DF92C4A"/>
    <w:rsid w:val="5DFED9D4"/>
    <w:rsid w:val="5E2EE1C2"/>
    <w:rsid w:val="5E798208"/>
    <w:rsid w:val="5E9BF6E6"/>
    <w:rsid w:val="5EDE14BB"/>
    <w:rsid w:val="5EFFF3EB"/>
    <w:rsid w:val="5F5F1CD9"/>
    <w:rsid w:val="5F6EF68E"/>
    <w:rsid w:val="5F71365A"/>
    <w:rsid w:val="5F71A12B"/>
    <w:rsid w:val="5F8FD8EC"/>
    <w:rsid w:val="5FAFA585"/>
    <w:rsid w:val="5FD7691F"/>
    <w:rsid w:val="5FDF10A6"/>
    <w:rsid w:val="5FED043D"/>
    <w:rsid w:val="5FEF3067"/>
    <w:rsid w:val="5FF7E7D0"/>
    <w:rsid w:val="5FFF6F35"/>
    <w:rsid w:val="5FFFD968"/>
    <w:rsid w:val="633FC934"/>
    <w:rsid w:val="63FFE4DC"/>
    <w:rsid w:val="657F9B22"/>
    <w:rsid w:val="66EFC9F1"/>
    <w:rsid w:val="679BC177"/>
    <w:rsid w:val="67A1D5ED"/>
    <w:rsid w:val="67F636A7"/>
    <w:rsid w:val="6BA3BD9F"/>
    <w:rsid w:val="6BCE2272"/>
    <w:rsid w:val="6BDF528F"/>
    <w:rsid w:val="6CE8523E"/>
    <w:rsid w:val="6D5A3875"/>
    <w:rsid w:val="6D7B93D2"/>
    <w:rsid w:val="6D7BBC2B"/>
    <w:rsid w:val="6DF7588E"/>
    <w:rsid w:val="6DF961A7"/>
    <w:rsid w:val="6DFD2CCF"/>
    <w:rsid w:val="6DFE986D"/>
    <w:rsid w:val="6EF7E256"/>
    <w:rsid w:val="6F654143"/>
    <w:rsid w:val="6FA22115"/>
    <w:rsid w:val="6FBAED6A"/>
    <w:rsid w:val="6FED19C6"/>
    <w:rsid w:val="6FF5960A"/>
    <w:rsid w:val="6FFA8758"/>
    <w:rsid w:val="6FFAB10B"/>
    <w:rsid w:val="6FFDF2FD"/>
    <w:rsid w:val="71775114"/>
    <w:rsid w:val="71EFF365"/>
    <w:rsid w:val="71FB808D"/>
    <w:rsid w:val="72D9307B"/>
    <w:rsid w:val="72FDB260"/>
    <w:rsid w:val="7357A14D"/>
    <w:rsid w:val="735C3B18"/>
    <w:rsid w:val="7375AA24"/>
    <w:rsid w:val="739B1AEC"/>
    <w:rsid w:val="73D7B48C"/>
    <w:rsid w:val="73DF290D"/>
    <w:rsid w:val="73EA0DD0"/>
    <w:rsid w:val="73FDA54B"/>
    <w:rsid w:val="74F78ED0"/>
    <w:rsid w:val="7577DFD4"/>
    <w:rsid w:val="75BBF2C7"/>
    <w:rsid w:val="75E56982"/>
    <w:rsid w:val="75FF5A45"/>
    <w:rsid w:val="767540B8"/>
    <w:rsid w:val="76B6A2A7"/>
    <w:rsid w:val="76C20B32"/>
    <w:rsid w:val="76F39580"/>
    <w:rsid w:val="775766C1"/>
    <w:rsid w:val="776B3D58"/>
    <w:rsid w:val="777F2FD0"/>
    <w:rsid w:val="777FD950"/>
    <w:rsid w:val="779FFF63"/>
    <w:rsid w:val="77BF057D"/>
    <w:rsid w:val="77CE4183"/>
    <w:rsid w:val="77DF9F7A"/>
    <w:rsid w:val="77F2864C"/>
    <w:rsid w:val="77FFE42A"/>
    <w:rsid w:val="785F3A51"/>
    <w:rsid w:val="78EDE338"/>
    <w:rsid w:val="78FECAC2"/>
    <w:rsid w:val="78FFE32D"/>
    <w:rsid w:val="79EBF6E6"/>
    <w:rsid w:val="79FC059F"/>
    <w:rsid w:val="7A4F4C88"/>
    <w:rsid w:val="7A7EA798"/>
    <w:rsid w:val="7ABB20A8"/>
    <w:rsid w:val="7AEED9CE"/>
    <w:rsid w:val="7AFB428A"/>
    <w:rsid w:val="7AFCC830"/>
    <w:rsid w:val="7B7FAB2B"/>
    <w:rsid w:val="7B9F3BBD"/>
    <w:rsid w:val="7BAFA7BF"/>
    <w:rsid w:val="7BBF987D"/>
    <w:rsid w:val="7BCDDB05"/>
    <w:rsid w:val="7BEDB0CE"/>
    <w:rsid w:val="7C361D3E"/>
    <w:rsid w:val="7C7B81D6"/>
    <w:rsid w:val="7C7B8CF0"/>
    <w:rsid w:val="7CDF472B"/>
    <w:rsid w:val="7CDF7409"/>
    <w:rsid w:val="7CE62C99"/>
    <w:rsid w:val="7CFCA5CE"/>
    <w:rsid w:val="7CFE5191"/>
    <w:rsid w:val="7D7E0060"/>
    <w:rsid w:val="7DAFD380"/>
    <w:rsid w:val="7DBE0A84"/>
    <w:rsid w:val="7DBF0E1B"/>
    <w:rsid w:val="7DBFC71B"/>
    <w:rsid w:val="7DD75369"/>
    <w:rsid w:val="7DEF9994"/>
    <w:rsid w:val="7DF386F0"/>
    <w:rsid w:val="7E76C297"/>
    <w:rsid w:val="7E7B9C23"/>
    <w:rsid w:val="7EB9323A"/>
    <w:rsid w:val="7ED749EA"/>
    <w:rsid w:val="7ED964E8"/>
    <w:rsid w:val="7EDE3B02"/>
    <w:rsid w:val="7EDEBA16"/>
    <w:rsid w:val="7EDFDAC4"/>
    <w:rsid w:val="7EF74CF6"/>
    <w:rsid w:val="7EFF6DBE"/>
    <w:rsid w:val="7EFFE1C9"/>
    <w:rsid w:val="7F372D46"/>
    <w:rsid w:val="7F3DF0C3"/>
    <w:rsid w:val="7F6F1972"/>
    <w:rsid w:val="7F6F5940"/>
    <w:rsid w:val="7F6F6FC3"/>
    <w:rsid w:val="7F7B325E"/>
    <w:rsid w:val="7F7B4F7E"/>
    <w:rsid w:val="7F7E50C6"/>
    <w:rsid w:val="7F7FE8F1"/>
    <w:rsid w:val="7F934F3A"/>
    <w:rsid w:val="7F98420F"/>
    <w:rsid w:val="7F9C48F7"/>
    <w:rsid w:val="7FAB617B"/>
    <w:rsid w:val="7FAE7389"/>
    <w:rsid w:val="7FBBC524"/>
    <w:rsid w:val="7FBD0F9C"/>
    <w:rsid w:val="7FBDC405"/>
    <w:rsid w:val="7FCBEE96"/>
    <w:rsid w:val="7FD62041"/>
    <w:rsid w:val="7FD7736B"/>
    <w:rsid w:val="7FDC5935"/>
    <w:rsid w:val="7FDE25D0"/>
    <w:rsid w:val="7FDE67DF"/>
    <w:rsid w:val="7FDE7C06"/>
    <w:rsid w:val="7FDFC803"/>
    <w:rsid w:val="7FDFFD78"/>
    <w:rsid w:val="7FEDFD97"/>
    <w:rsid w:val="7FEF7D21"/>
    <w:rsid w:val="7FF6EBE7"/>
    <w:rsid w:val="7FF7C221"/>
    <w:rsid w:val="7FF7F9DC"/>
    <w:rsid w:val="7FF93B18"/>
    <w:rsid w:val="7FFA56A0"/>
    <w:rsid w:val="7FFAAD1C"/>
    <w:rsid w:val="7FFBD885"/>
    <w:rsid w:val="7FFF60C4"/>
    <w:rsid w:val="7FFF90CA"/>
    <w:rsid w:val="7FFFC2C8"/>
    <w:rsid w:val="7FFFC8DE"/>
    <w:rsid w:val="8DCE91F0"/>
    <w:rsid w:val="8E0F2026"/>
    <w:rsid w:val="8EFF46CD"/>
    <w:rsid w:val="8FFE291F"/>
    <w:rsid w:val="93774A36"/>
    <w:rsid w:val="96EE6CC3"/>
    <w:rsid w:val="96F38DA5"/>
    <w:rsid w:val="96FACE2F"/>
    <w:rsid w:val="97DB9E9B"/>
    <w:rsid w:val="9B7DA4C6"/>
    <w:rsid w:val="9BDDAAF2"/>
    <w:rsid w:val="9CF7AA49"/>
    <w:rsid w:val="9DFFC2CB"/>
    <w:rsid w:val="9EFCA29A"/>
    <w:rsid w:val="9FBF0E51"/>
    <w:rsid w:val="9FC350DF"/>
    <w:rsid w:val="9FEBAC2B"/>
    <w:rsid w:val="A7D43C04"/>
    <w:rsid w:val="ABB91F2C"/>
    <w:rsid w:val="ACF74A41"/>
    <w:rsid w:val="ADFD243C"/>
    <w:rsid w:val="AF7EE88B"/>
    <w:rsid w:val="AFBFD284"/>
    <w:rsid w:val="B1BE5D9E"/>
    <w:rsid w:val="B1BF2718"/>
    <w:rsid w:val="B31E651A"/>
    <w:rsid w:val="B3D04C63"/>
    <w:rsid w:val="B3FFA83A"/>
    <w:rsid w:val="B5EF3C94"/>
    <w:rsid w:val="B5F98CA2"/>
    <w:rsid w:val="B6EEBBCF"/>
    <w:rsid w:val="B76E2985"/>
    <w:rsid w:val="B77BE0B4"/>
    <w:rsid w:val="B7FB9027"/>
    <w:rsid w:val="BAFE46E5"/>
    <w:rsid w:val="BB7F922C"/>
    <w:rsid w:val="BBDE5229"/>
    <w:rsid w:val="BBFB218C"/>
    <w:rsid w:val="BBFD7349"/>
    <w:rsid w:val="BC7BB9E3"/>
    <w:rsid w:val="BD2F37B5"/>
    <w:rsid w:val="BD95FDA8"/>
    <w:rsid w:val="BDAFAD6D"/>
    <w:rsid w:val="BDD7C11F"/>
    <w:rsid w:val="BDEDC7ED"/>
    <w:rsid w:val="BDF4390F"/>
    <w:rsid w:val="BDF6BB1C"/>
    <w:rsid w:val="BDFB8528"/>
    <w:rsid w:val="BDFFD3A4"/>
    <w:rsid w:val="BEBEE636"/>
    <w:rsid w:val="BEBF745F"/>
    <w:rsid w:val="BF29AAEB"/>
    <w:rsid w:val="BF75423F"/>
    <w:rsid w:val="BF7FFEB5"/>
    <w:rsid w:val="BFB59A00"/>
    <w:rsid w:val="BFCF5489"/>
    <w:rsid w:val="BFDD0198"/>
    <w:rsid w:val="BFEBD557"/>
    <w:rsid w:val="BFEF305D"/>
    <w:rsid w:val="BFF6DEE4"/>
    <w:rsid w:val="BFF7D6F7"/>
    <w:rsid w:val="BFFB7F9F"/>
    <w:rsid w:val="BFFF22FF"/>
    <w:rsid w:val="BFFF5D72"/>
    <w:rsid w:val="C5F3272F"/>
    <w:rsid w:val="C6FB6510"/>
    <w:rsid w:val="C7A7C0C2"/>
    <w:rsid w:val="CDACF416"/>
    <w:rsid w:val="CDEEA9B2"/>
    <w:rsid w:val="CDF794D3"/>
    <w:rsid w:val="CDFF8871"/>
    <w:rsid w:val="CF639A4F"/>
    <w:rsid w:val="CF7FCF30"/>
    <w:rsid w:val="CFA59F16"/>
    <w:rsid w:val="CFD720B8"/>
    <w:rsid w:val="D165D23B"/>
    <w:rsid w:val="D5FDD1BA"/>
    <w:rsid w:val="D773A445"/>
    <w:rsid w:val="D7D0B10C"/>
    <w:rsid w:val="D7D6E741"/>
    <w:rsid w:val="D7FEF567"/>
    <w:rsid w:val="D9BDC190"/>
    <w:rsid w:val="D9EF3B40"/>
    <w:rsid w:val="D9FE47E5"/>
    <w:rsid w:val="DB0FF90E"/>
    <w:rsid w:val="DBDF4841"/>
    <w:rsid w:val="DBFBA083"/>
    <w:rsid w:val="DBFF29CE"/>
    <w:rsid w:val="DBFFB590"/>
    <w:rsid w:val="DCF7FF52"/>
    <w:rsid w:val="DDAD5366"/>
    <w:rsid w:val="DDBF7690"/>
    <w:rsid w:val="DDEF5513"/>
    <w:rsid w:val="DEC6C319"/>
    <w:rsid w:val="DEF26225"/>
    <w:rsid w:val="DF6F22CA"/>
    <w:rsid w:val="DF8BCC27"/>
    <w:rsid w:val="DF9B04DD"/>
    <w:rsid w:val="DFA58C4F"/>
    <w:rsid w:val="DFBA98AB"/>
    <w:rsid w:val="DFBF1E5D"/>
    <w:rsid w:val="DFDEC0A0"/>
    <w:rsid w:val="DFE91B71"/>
    <w:rsid w:val="DFEB029A"/>
    <w:rsid w:val="DFF24A01"/>
    <w:rsid w:val="DFF3929C"/>
    <w:rsid w:val="DFFB53A1"/>
    <w:rsid w:val="DFFC1110"/>
    <w:rsid w:val="E1F54B5F"/>
    <w:rsid w:val="E1FE9536"/>
    <w:rsid w:val="E25EBA59"/>
    <w:rsid w:val="E36E9780"/>
    <w:rsid w:val="E5B7026C"/>
    <w:rsid w:val="E5CF46AF"/>
    <w:rsid w:val="E617A431"/>
    <w:rsid w:val="E637F874"/>
    <w:rsid w:val="E6AFD686"/>
    <w:rsid w:val="E7874182"/>
    <w:rsid w:val="E9E9D608"/>
    <w:rsid w:val="EAFF2AC1"/>
    <w:rsid w:val="EB6411C4"/>
    <w:rsid w:val="EBBD59BE"/>
    <w:rsid w:val="EBBF534B"/>
    <w:rsid w:val="EBDEFB44"/>
    <w:rsid w:val="EBFF60B8"/>
    <w:rsid w:val="EC7E7C6A"/>
    <w:rsid w:val="EC9637BF"/>
    <w:rsid w:val="EDDFA2F1"/>
    <w:rsid w:val="EE8F1903"/>
    <w:rsid w:val="EED2AE16"/>
    <w:rsid w:val="EEFA7608"/>
    <w:rsid w:val="EEFF546D"/>
    <w:rsid w:val="EF6CAB51"/>
    <w:rsid w:val="EF72956A"/>
    <w:rsid w:val="EF7DBDF4"/>
    <w:rsid w:val="EFAE9B56"/>
    <w:rsid w:val="EFBF46C3"/>
    <w:rsid w:val="EFE66296"/>
    <w:rsid w:val="EFF3D39C"/>
    <w:rsid w:val="EFFF1705"/>
    <w:rsid w:val="F1CDB870"/>
    <w:rsid w:val="F1EEE907"/>
    <w:rsid w:val="F3571382"/>
    <w:rsid w:val="F3736422"/>
    <w:rsid w:val="F3FA566D"/>
    <w:rsid w:val="F4FFB0BE"/>
    <w:rsid w:val="F51E49CE"/>
    <w:rsid w:val="F5A70DBD"/>
    <w:rsid w:val="F5BFF2B8"/>
    <w:rsid w:val="F5E7C5D3"/>
    <w:rsid w:val="F5F60854"/>
    <w:rsid w:val="F5FD9B00"/>
    <w:rsid w:val="F63FB7B6"/>
    <w:rsid w:val="F76F9E0C"/>
    <w:rsid w:val="F777D987"/>
    <w:rsid w:val="F79D6CA9"/>
    <w:rsid w:val="F7A58457"/>
    <w:rsid w:val="F7CFB7EC"/>
    <w:rsid w:val="F7D7E4DE"/>
    <w:rsid w:val="F7E9059E"/>
    <w:rsid w:val="F7FB2B1A"/>
    <w:rsid w:val="F9EF4CC7"/>
    <w:rsid w:val="FAD6DE02"/>
    <w:rsid w:val="FADA867B"/>
    <w:rsid w:val="FADDEF21"/>
    <w:rsid w:val="FAEA5BB6"/>
    <w:rsid w:val="FAFF8EEB"/>
    <w:rsid w:val="FB2BA317"/>
    <w:rsid w:val="FB5A3FE8"/>
    <w:rsid w:val="FB6FBBA7"/>
    <w:rsid w:val="FB7E46E9"/>
    <w:rsid w:val="FB7F415E"/>
    <w:rsid w:val="FB814EEA"/>
    <w:rsid w:val="FBBC30DD"/>
    <w:rsid w:val="FBBE86B4"/>
    <w:rsid w:val="FBDF2641"/>
    <w:rsid w:val="FBE7AA70"/>
    <w:rsid w:val="FBEF63F0"/>
    <w:rsid w:val="FBEFADE9"/>
    <w:rsid w:val="FBF71009"/>
    <w:rsid w:val="FBFB54EA"/>
    <w:rsid w:val="FCAFDCFB"/>
    <w:rsid w:val="FD23C044"/>
    <w:rsid w:val="FD27569F"/>
    <w:rsid w:val="FD9FAFF9"/>
    <w:rsid w:val="FD9FD695"/>
    <w:rsid w:val="FDBF8797"/>
    <w:rsid w:val="FDDFD1C0"/>
    <w:rsid w:val="FDEF0A9F"/>
    <w:rsid w:val="FDEF4462"/>
    <w:rsid w:val="FDF7C49E"/>
    <w:rsid w:val="FDFB1C0F"/>
    <w:rsid w:val="FDFBECBD"/>
    <w:rsid w:val="FDFDEAFD"/>
    <w:rsid w:val="FDFF2388"/>
    <w:rsid w:val="FDFF3E66"/>
    <w:rsid w:val="FE3F4B22"/>
    <w:rsid w:val="FE3F8EE7"/>
    <w:rsid w:val="FED7455D"/>
    <w:rsid w:val="FEDFD457"/>
    <w:rsid w:val="FEEBE3C5"/>
    <w:rsid w:val="FF269F38"/>
    <w:rsid w:val="FF3F9D10"/>
    <w:rsid w:val="FF4D656B"/>
    <w:rsid w:val="FF577B47"/>
    <w:rsid w:val="FF6F765D"/>
    <w:rsid w:val="FF77DD90"/>
    <w:rsid w:val="FF7E1662"/>
    <w:rsid w:val="FF7F14A4"/>
    <w:rsid w:val="FF9A66DE"/>
    <w:rsid w:val="FF9BB050"/>
    <w:rsid w:val="FF9FC18C"/>
    <w:rsid w:val="FFAB16FA"/>
    <w:rsid w:val="FFBB2F06"/>
    <w:rsid w:val="FFBB9CD8"/>
    <w:rsid w:val="FFBBCFD2"/>
    <w:rsid w:val="FFBDCB29"/>
    <w:rsid w:val="FFBFF27A"/>
    <w:rsid w:val="FFCD97C4"/>
    <w:rsid w:val="FFDA722C"/>
    <w:rsid w:val="FFDF2BDD"/>
    <w:rsid w:val="FFE3EEB8"/>
    <w:rsid w:val="FFE7A398"/>
    <w:rsid w:val="FFEE4093"/>
    <w:rsid w:val="FFEF43AE"/>
    <w:rsid w:val="FFEF93AA"/>
    <w:rsid w:val="FFEFBB54"/>
    <w:rsid w:val="FFEFC11A"/>
    <w:rsid w:val="FFEFD059"/>
    <w:rsid w:val="FFF3ED1A"/>
    <w:rsid w:val="FFF48B00"/>
    <w:rsid w:val="FFF6C650"/>
    <w:rsid w:val="FFF700B9"/>
    <w:rsid w:val="FFFAC5C0"/>
    <w:rsid w:val="FFFB0373"/>
    <w:rsid w:val="FFFB58F5"/>
    <w:rsid w:val="FFFBF9D7"/>
    <w:rsid w:val="FFFC27F9"/>
    <w:rsid w:val="FFFDA601"/>
    <w:rsid w:val="FFFE5841"/>
    <w:rsid w:val="FFFF3132"/>
    <w:rsid w:val="FFFF395D"/>
    <w:rsid w:val="FFFF4BF4"/>
    <w:rsid w:val="FFFF6037"/>
    <w:rsid w:val="FF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523</Words>
  <Characters>2985</Characters>
  <Lines>24</Lines>
  <Paragraphs>7</Paragraphs>
  <TotalTime>286</TotalTime>
  <ScaleCrop>false</ScaleCrop>
  <LinksUpToDate>false</LinksUpToDate>
  <CharactersWithSpaces>3501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2020-12-15T16:56:00Z</dcterms:created>
  <dc:creator>jin</dc:creator>
  <cp:lastModifiedBy>Jin</cp:lastModifiedBy>
  <cp:lastPrinted>2020-12-23T14:36:00Z</cp:lastPrinted>
  <dcterms:modified xsi:type="dcterms:W3CDTF">2021-03-04T09:07:35Z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