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天津市粮食行业信用评价管理办法（试行）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第一章 总则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第一条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为推进我市粮食行业信用体系建设，规范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信用管理，</w:t>
      </w:r>
      <w:r>
        <w:rPr>
          <w:rFonts w:ascii="Times New Roman" w:hAnsi="Times New Roman" w:eastAsia="仿宋_GB2312" w:cs="Times New Roman"/>
          <w:sz w:val="32"/>
          <w:szCs w:val="32"/>
        </w:rPr>
        <w:t>促进粮食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守法经营和诚信自律，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维护良好的</w:t>
      </w:r>
      <w:r>
        <w:rPr>
          <w:rFonts w:ascii="Times New Roman" w:hAnsi="Times New Roman" w:eastAsia="仿宋_GB2312" w:cs="Times New Roman"/>
          <w:sz w:val="32"/>
          <w:szCs w:val="32"/>
        </w:rPr>
        <w:t>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</w:t>
      </w:r>
      <w:r>
        <w:rPr>
          <w:rFonts w:ascii="Times New Roman" w:hAnsi="Times New Roman" w:eastAsia="仿宋_GB2312" w:cs="Times New Roman"/>
          <w:sz w:val="32"/>
          <w:szCs w:val="32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和粮食流通秩序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根据《粮食流通管理条例》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《天津市社会信用条例》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《天津市粮食流通管理办法》等法律</w:t>
      </w:r>
      <w:r>
        <w:rPr>
          <w:rFonts w:ascii="Times New Roman" w:hAnsi="Times New Roman" w:eastAsia="仿宋_GB2312" w:cs="Times New Roman"/>
          <w:sz w:val="32"/>
          <w:szCs w:val="32"/>
        </w:rPr>
        <w:t>法规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结合我市粮食流通工作实际，</w:t>
      </w:r>
      <w:r>
        <w:rPr>
          <w:rFonts w:ascii="Times New Roman" w:hAnsi="Times New Roman" w:eastAsia="仿宋_GB2312" w:cs="Times New Roman"/>
          <w:sz w:val="32"/>
          <w:szCs w:val="32"/>
        </w:rPr>
        <w:t>制定本办法。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条 本办法适用于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我市行政区域</w:t>
      </w:r>
      <w:r>
        <w:rPr>
          <w:rFonts w:ascii="Times New Roman" w:hAnsi="Times New Roman" w:eastAsia="仿宋_GB2312" w:cs="Times New Roman"/>
          <w:sz w:val="32"/>
          <w:szCs w:val="32"/>
        </w:rPr>
        <w:t>内从事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粮食（含油料、食用植物油）收购、储存、运输、加工、销售、进出口等活动的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粮食经营者。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条 本办法所称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粮食行业信用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评价</w:t>
      </w:r>
      <w:r>
        <w:rPr>
          <w:rFonts w:ascii="Times New Roman" w:hAnsi="Times New Roman" w:eastAsia="仿宋_GB2312" w:cs="Times New Roman"/>
          <w:sz w:val="32"/>
          <w:szCs w:val="32"/>
        </w:rPr>
        <w:t>管理，是指粮食行政管理部门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和中国天津粮油批发交易市场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（以下简称批发市场）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市粮食储备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（以下简称储备公司）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等公共服务企业事业单位对粮食经营者的信用信息开展的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归集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、评价、公示和应用等活动。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粮食和物资局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我市粮食行业信用监管工作，建立天津市粮食行业信用监管平台，制定评级标准和相应管理办法，</w:t>
      </w:r>
      <w:r>
        <w:rPr>
          <w:rFonts w:ascii="Times New Roman" w:hAnsi="Times New Roman" w:eastAsia="仿宋_GB2312" w:cs="Times New Roman"/>
          <w:sz w:val="32"/>
          <w:szCs w:val="32"/>
        </w:rPr>
        <w:t>组织指导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各区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和批发市场、储备公司等公共服务企业事业单位</w:t>
      </w:r>
      <w:r>
        <w:rPr>
          <w:rFonts w:ascii="Times New Roman" w:hAnsi="Times New Roman" w:eastAsia="仿宋_GB2312" w:cs="Times New Roman"/>
          <w:sz w:val="32"/>
          <w:szCs w:val="32"/>
        </w:rPr>
        <w:t>做好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</w:t>
      </w:r>
      <w:r>
        <w:rPr>
          <w:rFonts w:ascii="Times New Roman" w:hAnsi="Times New Roman" w:eastAsia="仿宋_GB2312" w:cs="Times New Roman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行业信用信息</w:t>
      </w:r>
      <w:r>
        <w:rPr>
          <w:rFonts w:ascii="Times New Roman" w:hAnsi="Times New Roman" w:eastAsia="仿宋_GB2312" w:cs="Times New Roman"/>
          <w:sz w:val="32"/>
          <w:szCs w:val="32"/>
        </w:rPr>
        <w:t>管理工作。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第五条 </w:t>
      </w:r>
      <w:r>
        <w:rPr>
          <w:rFonts w:ascii="Times New Roman" w:hAnsi="Times New Roman" w:eastAsia="仿宋_GB2312" w:cs="Times New Roman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行业信用信息的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归集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、评价、公示、应用和相关</w:t>
      </w:r>
      <w:r>
        <w:rPr>
          <w:rFonts w:ascii="Times New Roman" w:hAnsi="Times New Roman" w:eastAsia="仿宋_GB2312" w:cs="Times New Roman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活动，遵循合法公正、及时准确、标准统一、分级分类、动态管理的原则。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第六条 天津市粮食行业信用监管平台与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市信用信息共享平台建立信用管理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合作机制，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将信用评价结果推送至市信用信息共享平台，通过市信用信息共享平台向其他部门共享，供各部门参考使用，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推动信用分级监管。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第二章  信用信息的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归集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第七条 信用信息的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归集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工作按照“谁产生、谁记录”的原则，统一在天津市粮食行业信用监管平台进行。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第八条 记录失信信息应当以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和批发市场、储备公司等单位出具的具有法律效力的文书为依据。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第九条 粮食行业信用信息包括与粮食企业信用有关的基础类信息、考核类信息、负面信息和正面信息。其中，负面信息为失信信息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第十条 基础类信息</w:t>
      </w:r>
      <w:r>
        <w:rPr>
          <w:rFonts w:ascii="Times New Roman" w:hAnsi="Times New Roman" w:eastAsia="仿宋_GB2312" w:cs="Times New Roman"/>
          <w:sz w:val="32"/>
          <w:szCs w:val="32"/>
        </w:rPr>
        <w:t>包括：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（一）企业基本信息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包括统一社会信用代码、企业名称、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经营范围、</w:t>
      </w:r>
      <w:r>
        <w:rPr>
          <w:rFonts w:ascii="Times New Roman" w:hAnsi="Times New Roman" w:eastAsia="仿宋_GB2312" w:cs="Times New Roman"/>
          <w:sz w:val="32"/>
          <w:szCs w:val="32"/>
        </w:rPr>
        <w:t>注册地址、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登记机关、</w:t>
      </w:r>
      <w:r>
        <w:rPr>
          <w:rFonts w:ascii="Times New Roman" w:hAnsi="Times New Roman" w:eastAsia="仿宋_GB2312" w:cs="Times New Roman"/>
          <w:sz w:val="32"/>
          <w:szCs w:val="32"/>
        </w:rPr>
        <w:t>法定代表人或主要负责人等；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（二）市场准入信息。包括粮食收购资格、军粮供应资格、储备粮承储资格、粮油仓储单位备案、应急加工企业等；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）其他与粮食流通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</w:t>
      </w:r>
      <w:r>
        <w:rPr>
          <w:rFonts w:ascii="Times New Roman" w:hAnsi="Times New Roman" w:eastAsia="仿宋_GB2312" w:cs="Times New Roman"/>
          <w:sz w:val="32"/>
          <w:szCs w:val="32"/>
        </w:rPr>
        <w:t>信用相关的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基础信息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第十一条 考核类信息包括：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（一）粮食经营信息。包括执行国家粮食购销、储存、轮换政策等情况。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（二）粮食统计信息。包括库存粮食统计账、记账凭证的真实性、完整性，以及账务处理规范性。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（三）粮食财务信息。包括库存粮食会计账、记账凭证的真实性、完整性，以及账务处理规范性和财务管理合规性。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（四）粮食资金信息。包括库存粮食银行贷款、现金、费用补贴等资金使用、管理等情况。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粮食仓储信息。包括库存粮食保管账、记账凭证的真实性、完整性和规范性，仓储作业（熏蒸、通风、测温等）及相关记录的规范性，执行粮情定期检查制度情况，库存粮食储存安全情况，粮食仓储设施完好情况，政策性粮食储存条件，粮食数量损耗情况，储粮安全事故及粮食损失情况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（六）粮食质量信息。包括粮食质量档案的完整性和规范性，执行粮食质量管理和索证索票制度情况，库存粮食质量达标率、宜存率和食品安全合格率等。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（七）安全生产信息。包括储粮药剂管理与使用情况，消防、用电、防汛措施落实情况，安全生产设施配置情况，作业区安全警示警卫情况，作业人员安全防护及用具配置情况等。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（八）合同履约信息。包括合同执行情况、交易纠纷情况等。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（九）</w:t>
      </w:r>
      <w:r>
        <w:rPr>
          <w:rFonts w:ascii="Times New Roman" w:hAnsi="Times New Roman" w:eastAsia="仿宋_GB2312" w:cs="Times New Roman"/>
          <w:sz w:val="32"/>
          <w:szCs w:val="32"/>
        </w:rPr>
        <w:t>其他与粮食流通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</w:t>
      </w:r>
      <w:r>
        <w:rPr>
          <w:rFonts w:ascii="Times New Roman" w:hAnsi="Times New Roman" w:eastAsia="仿宋_GB2312" w:cs="Times New Roman"/>
          <w:sz w:val="32"/>
          <w:szCs w:val="32"/>
        </w:rPr>
        <w:t>信用相关的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第十二条 负面信息包括：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（一）粮食行政管理部门作出的行政处罚。包括警告，罚款，没收违法所得、没收非法财物等。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（二）行政审批部门作出的行政处罚。包括暂停、取消粮食收购资格等。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）其他与粮食流通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</w:t>
      </w:r>
      <w:r>
        <w:rPr>
          <w:rFonts w:ascii="Times New Roman" w:hAnsi="Times New Roman" w:eastAsia="仿宋_GB2312" w:cs="Times New Roman"/>
          <w:sz w:val="32"/>
          <w:szCs w:val="32"/>
        </w:rPr>
        <w:t>信用相关的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负面信息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第十三条 正面信息包括：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（一）奖励信息。包括粮食行政管理部门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、批发市场、储备公司等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颁发的荣誉称号、评优评先等奖励。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其他与粮食流通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</w:t>
      </w:r>
      <w:r>
        <w:rPr>
          <w:rFonts w:ascii="Times New Roman" w:hAnsi="Times New Roman" w:eastAsia="仿宋_GB2312" w:cs="Times New Roman"/>
          <w:sz w:val="32"/>
          <w:szCs w:val="32"/>
        </w:rPr>
        <w:t>信用相关的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正面信息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 xml:space="preserve">章 </w:t>
      </w:r>
      <w:r>
        <w:rPr>
          <w:rFonts w:hint="eastAsia" w:ascii="黑体" w:hAnsi="黑体" w:eastAsia="黑体" w:cs="Times New Roman"/>
          <w:sz w:val="32"/>
          <w:szCs w:val="32"/>
        </w:rPr>
        <w:t>信用评价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第十四条 粮食行业信用评价采用即时评价指标，采取扣分方式，从1000分起评，并按照诚信程度将粮食企业信用等级从高到低依次分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为五个等级，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950分及以上为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（优秀）、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900分至949分为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（良好）、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750分至899分为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（中等）、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600分至749分为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D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（较差）、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600分以下为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（差）。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十五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从事粮食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流通</w:t>
      </w:r>
      <w:r>
        <w:rPr>
          <w:rFonts w:ascii="Times New Roman" w:hAnsi="Times New Roman" w:eastAsia="仿宋_GB2312" w:cs="Times New Roman"/>
          <w:sz w:val="32"/>
          <w:szCs w:val="32"/>
        </w:rPr>
        <w:t>活动，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违反第十一条所列考核类信息有关规定的，应予以记录，并扣除相应分值。考核类信息扣除的分值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上限为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第十六条 </w:t>
      </w:r>
      <w:r>
        <w:rPr>
          <w:rFonts w:ascii="Times New Roman" w:hAnsi="Times New Roman" w:eastAsia="仿宋_GB2312" w:cs="Times New Roman"/>
          <w:sz w:val="32"/>
          <w:szCs w:val="32"/>
        </w:rPr>
        <w:t>从事粮食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流通</w:t>
      </w:r>
      <w:r>
        <w:rPr>
          <w:rFonts w:ascii="Times New Roman" w:hAnsi="Times New Roman" w:eastAsia="仿宋_GB2312" w:cs="Times New Roman"/>
          <w:sz w:val="32"/>
          <w:szCs w:val="32"/>
        </w:rPr>
        <w:t>活动，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产生第十二条所列负面信息的，应予以记录，并扣除相应分值。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第十七条 </w:t>
      </w:r>
      <w:r>
        <w:rPr>
          <w:rFonts w:ascii="Times New Roman" w:hAnsi="Times New Roman" w:eastAsia="仿宋_GB2312" w:cs="Times New Roman"/>
          <w:sz w:val="32"/>
          <w:szCs w:val="32"/>
        </w:rPr>
        <w:t>从事粮食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流通</w:t>
      </w:r>
      <w:r>
        <w:rPr>
          <w:rFonts w:ascii="Times New Roman" w:hAnsi="Times New Roman" w:eastAsia="仿宋_GB2312" w:cs="Times New Roman"/>
          <w:sz w:val="32"/>
          <w:szCs w:val="32"/>
        </w:rPr>
        <w:t>活动，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有下列情形之一的，信用等级直接判定为E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（差）：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严重破坏粮食流通市场秩序的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（二）严重危害政策性粮食承储安全的；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拒不履行粮食宏观调控、应急保障等法定义务，严重影响粮食行政管理部门公信力的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发生军粮断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、漏、错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供，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重大泄密责任事故的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（五）法律法规规章规定的其他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第十八条 考核类信用信息申请查询的期限为一年；负面信用信息申请查询的期限为五年；正面信用信息除信用主体申请删除外，按照信息源规定时限设定申请查询期限；法律法规另有规定的除外。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查询期限自行为或者事件终止之日起计算。期限届满，该信息将从公开和查询界面删除，不再对外提供查询，且不再作为信用评价的依据。法律法规另有规定的除外。</w:t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章</w:t>
      </w:r>
      <w:r>
        <w:rPr>
          <w:rFonts w:hint="eastAsia" w:ascii="黑体" w:hAnsi="黑体" w:eastAsia="黑体" w:cs="Times New Roman"/>
          <w:sz w:val="32"/>
          <w:szCs w:val="32"/>
        </w:rPr>
        <w:t xml:space="preserve"> 守信激励和失信惩戒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第十九条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信用等级为A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（优秀）的粮食经营者，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可以采取以下激励措施：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（一）在办理粮食收购资格许可中，予以优先办理、享受承诺制审批等便利措施；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（二）在粮食领域财政性资金和项目支持中，同等条件下列为优先选择对象；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（三）在粮食领域评优评先时，同等条件下列为优先选择对象；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（四）在安排地方储备粮及政策性粮食收储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任务、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轮换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时，同等条件下列为优先选择对象；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在双随机检查时，被抽取的概率设置为正常概率的30%；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）法律法规规章规定的其他激励措施。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第二十条 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信用等级为A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（优秀）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且未因交易纠纷产生负面信息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的粮食经营者，批发市场可以采取以下激励措施：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（一）在本机构参与竞价交易的，予以优先办理、简化程序、压缩时限等便利服务措施，可以适当减少保证金的缴纳；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（二）法律法规规章规定的其他激励措施。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第二十一条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信用等级为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（优秀）的粮食经营者，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可以采取以下激励措施：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（一）在办理粮食收购资格许可中，予以优先办理、享受承诺制审批等便利措施；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在双随机检查时，被抽取的概率设置为正常概率的50%；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）法律法规规章规定的其他激励措施。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 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信用等级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）的粮食经营者，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可以采取以下惩戒措施：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（一）在办理粮食收购资格许可中，减少享受承诺制审批等便利措施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，可承诺后补的材料减少为正常情况的一半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（二）在粮食领域评优评先时，应适当扣减分值；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）法律法规规章规定的其他惩戒措施。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 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信用等级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）的粮食经营者，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可以采取以下惩戒措施：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（一）在办理粮食收购资格许可中，不予享受承诺制审批等便利措施；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（二）列为重点监管对象，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在双随机检查时，被抽取的概率设置为正常概率的150%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（三）对失信的粮食经营者进行约谈，约谈情况应记入信用记录；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（四）在粮食领域评优评先时，应适当扣减分值；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（五）法律法规规章规定的其他惩戒措施。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 对于信用等级为E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级（差）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的粮食经营者，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除给予第二十二条（一）、（三）、（四）项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惩戒措施外，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可以采取以下惩戒措施：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（一）根据实际情况，限制进入粮食收购、军粮供应、应急保障、政策性粮食承储等领域中的一种或多种；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（二）限制享受粮食领域相关扶持政策；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（三）限制获得粮食领域相关荣誉称号；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（四）在日常监管中，列为重点监管对象，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每年至少进行一次现场检查。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在双随机检查时，被抽取的概率设置为正常概率的200%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（六）建议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粮食行业协会等组织、机构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限制该企业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法定代表人担任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职务；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）法律法规规章规定的其他惩戒措施。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 对于信用等级为E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级（差）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的粮食经营者，批发市场可以采取以下惩戒措施：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根据实际情况，限制参加本机构的部分或全部交易活动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（二）不享受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优先办理、简化程序、压缩时限等便利服务措施；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保证金的缴纳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）法律法规规章规定的其他惩戒措施。</w:t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z w:val="32"/>
          <w:szCs w:val="32"/>
        </w:rPr>
        <w:t>五</w:t>
      </w:r>
      <w:r>
        <w:rPr>
          <w:rFonts w:ascii="黑体" w:hAnsi="黑体" w:eastAsia="黑体" w:cs="Times New Roman"/>
          <w:sz w:val="32"/>
          <w:szCs w:val="32"/>
        </w:rPr>
        <w:t>章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权益保护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在查询期限内，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信用主体对信用信息有异议的，可向该信息产生单位以书面形式提出异议申诉并提供证据材料。信息产生单位应当在收到异议申诉之日起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15个工作日内进行调查核实，将核实结果告知信用主体。核实确认信用信息有误的，应自确认之日起5个工作日内予以更正。核实结果应通过“信用中国（天津）”等政务网站向社会公示。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第二十七条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在查询期限内，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信用主体对信用信息有异议的，也可通过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“信用中国（天津）”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网站发起异议申请，处理程序从其规定。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第六章</w:t>
      </w:r>
      <w:r>
        <w:rPr>
          <w:rFonts w:hint="eastAsia" w:ascii="黑体" w:hAnsi="黑体" w:eastAsia="黑体" w:cs="Times New Roman"/>
          <w:sz w:val="32"/>
          <w:szCs w:val="32"/>
        </w:rPr>
        <w:t xml:space="preserve">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二十八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有关信用评价管理及法律责任等未尽事宜，依照《天津市社会信用条例》执行。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二十九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本办法由天津市粮食和物资储备局负责解释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三十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本办法自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>日起施行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，有效期两年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18"/>
          <w:lang w:eastAsia="zh-CN"/>
        </w:rPr>
        <w:t>附件</w:t>
      </w:r>
    </w:p>
    <w:p>
      <w:pPr>
        <w:jc w:val="center"/>
        <w:rPr>
          <w:rFonts w:hint="eastAsia" w:ascii="方正小标宋_GBK" w:hAnsi="Times New Roman" w:eastAsia="方正小标宋_GBK" w:cs="Times New Roman"/>
          <w:sz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lang w:eastAsia="zh-CN"/>
        </w:rPr>
        <w:t>天津市粮食行业信用等级</w:t>
      </w:r>
      <w:r>
        <w:rPr>
          <w:rFonts w:hint="eastAsia" w:ascii="方正小标宋_GBK" w:hAnsi="Times New Roman" w:eastAsia="方正小标宋_GBK" w:cs="Times New Roman"/>
          <w:sz w:val="44"/>
        </w:rPr>
        <w:t>评价指标</w:t>
      </w:r>
      <w:r>
        <w:rPr>
          <w:rFonts w:hint="eastAsia" w:ascii="方正小标宋_GBK" w:hAnsi="Times New Roman" w:eastAsia="方正小标宋_GBK" w:cs="Times New Roman"/>
          <w:sz w:val="44"/>
          <w:lang w:eastAsia="zh-CN"/>
        </w:rPr>
        <w:t>及评分标准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713"/>
        <w:gridCol w:w="4525"/>
        <w:gridCol w:w="1712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  <w:t>评价指标</w:t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  <w:t>评分标准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  <w:t>分值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16"/>
                <w:vertAlign w:val="baseline"/>
                <w:lang w:eastAsia="zh-CN"/>
              </w:rPr>
              <w:t>认定方式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2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违反法律法规规章，情节严重，受到不同额度的罚款处罚（罚款且罚没的，仅扣除最高分）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≤1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-80</w:t>
            </w:r>
          </w:p>
        </w:tc>
        <w:tc>
          <w:tcPr>
            <w:tcW w:w="3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粮食行政管理部门出具行政处罚决定书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罚款金额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≤5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-120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罚款金额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≤20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-150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罚款金额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≤100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-200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罚款金额＞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100万元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-250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2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违反法律法规规章，情节严重，受到不同数量的罚没粮食的处罚（罚没且罚款的，仅扣除最高分）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罚没数量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≤100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吨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-80</w:t>
            </w:r>
          </w:p>
        </w:tc>
        <w:tc>
          <w:tcPr>
            <w:tcW w:w="3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粮食行政管理部门出具行政处罚决定书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罚没数量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≤1000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吨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-120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罚没数量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≤2000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吨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-150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罚没数量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≤10000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吨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-200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罚没数量＞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吨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-250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2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违反法律法规规章，被暂停或撤销粮食收购资格的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暂停粮食收购资格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-50</w:t>
            </w:r>
          </w:p>
        </w:tc>
        <w:tc>
          <w:tcPr>
            <w:tcW w:w="3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粮食行政管理部门出具行政处罚决定书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撤销粮食收购资格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-80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13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拒不履行行政处罚决定的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被申请强制执行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-100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粮食行政管理部门出具强制执行申请书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14</w:t>
            </w:r>
          </w:p>
        </w:tc>
        <w:tc>
          <w:tcPr>
            <w:tcW w:w="2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违反法律法规规章，情节轻微的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责令改正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-5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粮食行政管理部门出具责令改正通知书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给予警告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-10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粮食行政管理部门出具行政处罚决定书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未按要求完成整改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粮食行政管理部门出具责令改正通知书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17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拒不配合行政检查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-50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粮食行政管理部门出具现场检查记录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2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违反考核类信息有关规定的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（扣分上限</w:t>
            </w: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100分</w:t>
            </w: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）</w:t>
            </w: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情节轻微的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-5</w:t>
            </w:r>
          </w:p>
        </w:tc>
        <w:tc>
          <w:tcPr>
            <w:tcW w:w="3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中国天津粮油批发交易市场、市粮食储备公司等公共服务企业事业单位出具的检查文书、报告等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2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  <w:tc>
          <w:tcPr>
            <w:tcW w:w="4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  <w:t>情节严重的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val="en-US" w:eastAsia="zh-CN"/>
              </w:rPr>
              <w:t>-10</w:t>
            </w:r>
          </w:p>
        </w:tc>
        <w:tc>
          <w:tcPr>
            <w:tcW w:w="3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16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_GBK" w:hAnsi="Times New Roman" w:eastAsia="方正小标宋_GBK" w:cs="Times New Roman"/>
          <w:sz w:val="24"/>
          <w:szCs w:val="15"/>
          <w:lang w:eastAsia="zh-CN"/>
        </w:rPr>
      </w:pPr>
    </w:p>
    <w:sectPr>
      <w:pgSz w:w="16838" w:h="11906" w:orient="landscape"/>
      <w:pgMar w:top="1587" w:right="2098" w:bottom="1474" w:left="1985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3146040"/>
      <w:docPartObj>
        <w:docPartGallery w:val="autotext"/>
      </w:docPartObj>
    </w:sdtPr>
    <w:sdtEndPr>
      <w:rPr>
        <w:rFonts w:asciiTheme="minorEastAsia" w:hAnsiTheme="minorEastAsia"/>
        <w:sz w:val="24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1 -</w:t>
        </w:r>
        <w:r>
          <w:rPr>
            <w:rFonts w:asciiTheme="minorEastAsia" w:hAnsiTheme="minorEastAsia"/>
            <w:sz w:val="24"/>
          </w:rPr>
          <w:fldChar w:fldCharType="end"/>
        </w:r>
        <w:r>
          <w:rPr>
            <w:rFonts w:hint="eastAsia" w:asciiTheme="minorEastAsia" w:hAnsiTheme="minorEastAsia"/>
            <w:sz w:val="24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6445825"/>
      <w:docPartObj>
        <w:docPartGallery w:val="autotext"/>
      </w:docPartObj>
    </w:sdtPr>
    <w:sdtEndPr>
      <w:rPr>
        <w:rFonts w:asciiTheme="minorEastAsia" w:hAnsiTheme="minorEastAsia"/>
        <w:sz w:val="24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2 -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24"/>
    <w:rsid w:val="0001371C"/>
    <w:rsid w:val="00015281"/>
    <w:rsid w:val="00023449"/>
    <w:rsid w:val="00025131"/>
    <w:rsid w:val="000255DE"/>
    <w:rsid w:val="00050482"/>
    <w:rsid w:val="00052B24"/>
    <w:rsid w:val="0005331F"/>
    <w:rsid w:val="0007574C"/>
    <w:rsid w:val="00080D46"/>
    <w:rsid w:val="000917A2"/>
    <w:rsid w:val="000A4DDC"/>
    <w:rsid w:val="000A635A"/>
    <w:rsid w:val="000A6C0B"/>
    <w:rsid w:val="000C28CB"/>
    <w:rsid w:val="000C5D0C"/>
    <w:rsid w:val="000D17FE"/>
    <w:rsid w:val="000D4800"/>
    <w:rsid w:val="000E13F0"/>
    <w:rsid w:val="000E3E2C"/>
    <w:rsid w:val="000F2F28"/>
    <w:rsid w:val="000F369B"/>
    <w:rsid w:val="000F52E7"/>
    <w:rsid w:val="0010216B"/>
    <w:rsid w:val="00102857"/>
    <w:rsid w:val="00122CA6"/>
    <w:rsid w:val="00122D5A"/>
    <w:rsid w:val="00127540"/>
    <w:rsid w:val="00132BFE"/>
    <w:rsid w:val="0013349D"/>
    <w:rsid w:val="001375F8"/>
    <w:rsid w:val="0014650B"/>
    <w:rsid w:val="00147F62"/>
    <w:rsid w:val="0015588A"/>
    <w:rsid w:val="00156829"/>
    <w:rsid w:val="001601BF"/>
    <w:rsid w:val="00163829"/>
    <w:rsid w:val="0016768A"/>
    <w:rsid w:val="00181727"/>
    <w:rsid w:val="00183F7D"/>
    <w:rsid w:val="00192D6D"/>
    <w:rsid w:val="00193AE6"/>
    <w:rsid w:val="0019542A"/>
    <w:rsid w:val="00195A9F"/>
    <w:rsid w:val="001A5A46"/>
    <w:rsid w:val="001A7F83"/>
    <w:rsid w:val="001C1E14"/>
    <w:rsid w:val="001D33EF"/>
    <w:rsid w:val="001D3AF1"/>
    <w:rsid w:val="001D6B36"/>
    <w:rsid w:val="001E399D"/>
    <w:rsid w:val="001E631B"/>
    <w:rsid w:val="001F112E"/>
    <w:rsid w:val="001F2FDF"/>
    <w:rsid w:val="001F723D"/>
    <w:rsid w:val="00200416"/>
    <w:rsid w:val="0020394E"/>
    <w:rsid w:val="00203B44"/>
    <w:rsid w:val="00212816"/>
    <w:rsid w:val="002134A5"/>
    <w:rsid w:val="00217951"/>
    <w:rsid w:val="0023472A"/>
    <w:rsid w:val="0024299D"/>
    <w:rsid w:val="00273C6D"/>
    <w:rsid w:val="00280CE0"/>
    <w:rsid w:val="0028119D"/>
    <w:rsid w:val="00293030"/>
    <w:rsid w:val="002A402B"/>
    <w:rsid w:val="002B6446"/>
    <w:rsid w:val="002B79A3"/>
    <w:rsid w:val="002E01DA"/>
    <w:rsid w:val="002E3C73"/>
    <w:rsid w:val="002E7383"/>
    <w:rsid w:val="002F65FF"/>
    <w:rsid w:val="00303949"/>
    <w:rsid w:val="00305ED2"/>
    <w:rsid w:val="0031404D"/>
    <w:rsid w:val="00324975"/>
    <w:rsid w:val="00325556"/>
    <w:rsid w:val="00330E11"/>
    <w:rsid w:val="003356DB"/>
    <w:rsid w:val="00335D82"/>
    <w:rsid w:val="003376CA"/>
    <w:rsid w:val="003452AF"/>
    <w:rsid w:val="0034735E"/>
    <w:rsid w:val="00347798"/>
    <w:rsid w:val="003550F7"/>
    <w:rsid w:val="00356394"/>
    <w:rsid w:val="0036155F"/>
    <w:rsid w:val="0036248A"/>
    <w:rsid w:val="00383BD0"/>
    <w:rsid w:val="00385CF5"/>
    <w:rsid w:val="00386A23"/>
    <w:rsid w:val="003951B4"/>
    <w:rsid w:val="0039545D"/>
    <w:rsid w:val="003F23CF"/>
    <w:rsid w:val="003F2480"/>
    <w:rsid w:val="003F369C"/>
    <w:rsid w:val="003F4959"/>
    <w:rsid w:val="0041342A"/>
    <w:rsid w:val="004165EB"/>
    <w:rsid w:val="00443781"/>
    <w:rsid w:val="0044474C"/>
    <w:rsid w:val="00446D00"/>
    <w:rsid w:val="00452755"/>
    <w:rsid w:val="00463EEA"/>
    <w:rsid w:val="00464365"/>
    <w:rsid w:val="004732A7"/>
    <w:rsid w:val="00480CCB"/>
    <w:rsid w:val="0048212A"/>
    <w:rsid w:val="00484F61"/>
    <w:rsid w:val="004A01EE"/>
    <w:rsid w:val="004B6A74"/>
    <w:rsid w:val="004C7422"/>
    <w:rsid w:val="004E3277"/>
    <w:rsid w:val="004F002A"/>
    <w:rsid w:val="004F7F23"/>
    <w:rsid w:val="00500C8D"/>
    <w:rsid w:val="00513740"/>
    <w:rsid w:val="005152C9"/>
    <w:rsid w:val="0052163A"/>
    <w:rsid w:val="005216EA"/>
    <w:rsid w:val="00521805"/>
    <w:rsid w:val="00523614"/>
    <w:rsid w:val="00535E18"/>
    <w:rsid w:val="00541176"/>
    <w:rsid w:val="00544171"/>
    <w:rsid w:val="005644DA"/>
    <w:rsid w:val="00573E11"/>
    <w:rsid w:val="00575553"/>
    <w:rsid w:val="005810BA"/>
    <w:rsid w:val="00581631"/>
    <w:rsid w:val="0058667F"/>
    <w:rsid w:val="00590DEA"/>
    <w:rsid w:val="005971F3"/>
    <w:rsid w:val="005A0F77"/>
    <w:rsid w:val="005A352D"/>
    <w:rsid w:val="005B2B5D"/>
    <w:rsid w:val="005B3DFF"/>
    <w:rsid w:val="005C0137"/>
    <w:rsid w:val="005D730E"/>
    <w:rsid w:val="00602868"/>
    <w:rsid w:val="0060495D"/>
    <w:rsid w:val="00607806"/>
    <w:rsid w:val="00617A02"/>
    <w:rsid w:val="006208B7"/>
    <w:rsid w:val="006241A2"/>
    <w:rsid w:val="00630400"/>
    <w:rsid w:val="0063178A"/>
    <w:rsid w:val="0063357A"/>
    <w:rsid w:val="006350AC"/>
    <w:rsid w:val="00636266"/>
    <w:rsid w:val="006477A5"/>
    <w:rsid w:val="0065374F"/>
    <w:rsid w:val="00665AEB"/>
    <w:rsid w:val="00681263"/>
    <w:rsid w:val="00683925"/>
    <w:rsid w:val="00692056"/>
    <w:rsid w:val="006A1AA7"/>
    <w:rsid w:val="006A5923"/>
    <w:rsid w:val="006B3BEA"/>
    <w:rsid w:val="006B5192"/>
    <w:rsid w:val="006B6170"/>
    <w:rsid w:val="006B76E9"/>
    <w:rsid w:val="006E6989"/>
    <w:rsid w:val="006F56FF"/>
    <w:rsid w:val="00700A80"/>
    <w:rsid w:val="007041D3"/>
    <w:rsid w:val="0070616F"/>
    <w:rsid w:val="007102D9"/>
    <w:rsid w:val="007213EC"/>
    <w:rsid w:val="00721DA3"/>
    <w:rsid w:val="00723C25"/>
    <w:rsid w:val="00730D05"/>
    <w:rsid w:val="0073665A"/>
    <w:rsid w:val="00742ADD"/>
    <w:rsid w:val="00743642"/>
    <w:rsid w:val="00746571"/>
    <w:rsid w:val="00750DCE"/>
    <w:rsid w:val="00753A77"/>
    <w:rsid w:val="0077518B"/>
    <w:rsid w:val="007846AA"/>
    <w:rsid w:val="0079200E"/>
    <w:rsid w:val="007A57E6"/>
    <w:rsid w:val="007A6CAB"/>
    <w:rsid w:val="007B3542"/>
    <w:rsid w:val="007B48C0"/>
    <w:rsid w:val="007D0B02"/>
    <w:rsid w:val="007D2F37"/>
    <w:rsid w:val="007E027E"/>
    <w:rsid w:val="007E4ADB"/>
    <w:rsid w:val="00801394"/>
    <w:rsid w:val="008129C0"/>
    <w:rsid w:val="0082753F"/>
    <w:rsid w:val="0083220C"/>
    <w:rsid w:val="008323CC"/>
    <w:rsid w:val="0083398E"/>
    <w:rsid w:val="00843EE1"/>
    <w:rsid w:val="00846F56"/>
    <w:rsid w:val="008501B5"/>
    <w:rsid w:val="00871ED5"/>
    <w:rsid w:val="00872004"/>
    <w:rsid w:val="008760B8"/>
    <w:rsid w:val="00882499"/>
    <w:rsid w:val="00886729"/>
    <w:rsid w:val="008964DA"/>
    <w:rsid w:val="008A1596"/>
    <w:rsid w:val="008A591F"/>
    <w:rsid w:val="008A77AB"/>
    <w:rsid w:val="008B19F5"/>
    <w:rsid w:val="008B2F70"/>
    <w:rsid w:val="008B3CEF"/>
    <w:rsid w:val="008C706A"/>
    <w:rsid w:val="00901BE7"/>
    <w:rsid w:val="00913C3F"/>
    <w:rsid w:val="00925D84"/>
    <w:rsid w:val="00927121"/>
    <w:rsid w:val="0093179F"/>
    <w:rsid w:val="009352D4"/>
    <w:rsid w:val="009452C2"/>
    <w:rsid w:val="00952FFA"/>
    <w:rsid w:val="009621B8"/>
    <w:rsid w:val="00963D44"/>
    <w:rsid w:val="009703D3"/>
    <w:rsid w:val="00981EDA"/>
    <w:rsid w:val="009902CC"/>
    <w:rsid w:val="00994FCE"/>
    <w:rsid w:val="009A51AA"/>
    <w:rsid w:val="009A70DA"/>
    <w:rsid w:val="009B2B53"/>
    <w:rsid w:val="009D5E18"/>
    <w:rsid w:val="009D78CA"/>
    <w:rsid w:val="009E047A"/>
    <w:rsid w:val="009F53A6"/>
    <w:rsid w:val="00A12368"/>
    <w:rsid w:val="00A13971"/>
    <w:rsid w:val="00A27D42"/>
    <w:rsid w:val="00A4392A"/>
    <w:rsid w:val="00A563FA"/>
    <w:rsid w:val="00A65797"/>
    <w:rsid w:val="00A66D9E"/>
    <w:rsid w:val="00A66EDD"/>
    <w:rsid w:val="00A71960"/>
    <w:rsid w:val="00A7690E"/>
    <w:rsid w:val="00A86F7D"/>
    <w:rsid w:val="00A91B36"/>
    <w:rsid w:val="00AA184E"/>
    <w:rsid w:val="00AA760A"/>
    <w:rsid w:val="00AB235D"/>
    <w:rsid w:val="00AB2D83"/>
    <w:rsid w:val="00AC7C4B"/>
    <w:rsid w:val="00AD00BE"/>
    <w:rsid w:val="00AD5B7C"/>
    <w:rsid w:val="00AD6FE6"/>
    <w:rsid w:val="00AE005B"/>
    <w:rsid w:val="00AE6905"/>
    <w:rsid w:val="00AF1103"/>
    <w:rsid w:val="00AF31EE"/>
    <w:rsid w:val="00AF4947"/>
    <w:rsid w:val="00B027CA"/>
    <w:rsid w:val="00B12034"/>
    <w:rsid w:val="00B24899"/>
    <w:rsid w:val="00B37D2B"/>
    <w:rsid w:val="00B40E9C"/>
    <w:rsid w:val="00B45BFB"/>
    <w:rsid w:val="00B45CE7"/>
    <w:rsid w:val="00B55CB2"/>
    <w:rsid w:val="00B62E03"/>
    <w:rsid w:val="00B64030"/>
    <w:rsid w:val="00B83D19"/>
    <w:rsid w:val="00B840C5"/>
    <w:rsid w:val="00B940AF"/>
    <w:rsid w:val="00B97B81"/>
    <w:rsid w:val="00BA2FAE"/>
    <w:rsid w:val="00BB3DB1"/>
    <w:rsid w:val="00BD5745"/>
    <w:rsid w:val="00BD7627"/>
    <w:rsid w:val="00BE04BF"/>
    <w:rsid w:val="00BE5516"/>
    <w:rsid w:val="00BE5AA6"/>
    <w:rsid w:val="00BF4825"/>
    <w:rsid w:val="00BF5F52"/>
    <w:rsid w:val="00C03605"/>
    <w:rsid w:val="00C04C23"/>
    <w:rsid w:val="00C07900"/>
    <w:rsid w:val="00C07E0E"/>
    <w:rsid w:val="00C1398E"/>
    <w:rsid w:val="00C24CC0"/>
    <w:rsid w:val="00C3510F"/>
    <w:rsid w:val="00C41753"/>
    <w:rsid w:val="00C41ADA"/>
    <w:rsid w:val="00C543FB"/>
    <w:rsid w:val="00C57924"/>
    <w:rsid w:val="00C57C51"/>
    <w:rsid w:val="00C738F0"/>
    <w:rsid w:val="00C750E4"/>
    <w:rsid w:val="00C828C5"/>
    <w:rsid w:val="00C82A7E"/>
    <w:rsid w:val="00C85642"/>
    <w:rsid w:val="00C96988"/>
    <w:rsid w:val="00C96E1F"/>
    <w:rsid w:val="00CA125D"/>
    <w:rsid w:val="00CA4F1E"/>
    <w:rsid w:val="00CA53FA"/>
    <w:rsid w:val="00CC3124"/>
    <w:rsid w:val="00CC7242"/>
    <w:rsid w:val="00CC7BF5"/>
    <w:rsid w:val="00CD72C7"/>
    <w:rsid w:val="00CE313B"/>
    <w:rsid w:val="00CF61AB"/>
    <w:rsid w:val="00CF6987"/>
    <w:rsid w:val="00D008E3"/>
    <w:rsid w:val="00D07898"/>
    <w:rsid w:val="00D07C3D"/>
    <w:rsid w:val="00D139C6"/>
    <w:rsid w:val="00D146CC"/>
    <w:rsid w:val="00D1746B"/>
    <w:rsid w:val="00D32777"/>
    <w:rsid w:val="00D40F7E"/>
    <w:rsid w:val="00D428DE"/>
    <w:rsid w:val="00D4695A"/>
    <w:rsid w:val="00D46AAF"/>
    <w:rsid w:val="00D51CFF"/>
    <w:rsid w:val="00D51F21"/>
    <w:rsid w:val="00D52855"/>
    <w:rsid w:val="00D549E8"/>
    <w:rsid w:val="00D66899"/>
    <w:rsid w:val="00D72F68"/>
    <w:rsid w:val="00D73635"/>
    <w:rsid w:val="00D8409D"/>
    <w:rsid w:val="00D84EEE"/>
    <w:rsid w:val="00D90EFB"/>
    <w:rsid w:val="00D922D3"/>
    <w:rsid w:val="00DB6606"/>
    <w:rsid w:val="00DC6BA8"/>
    <w:rsid w:val="00DD2253"/>
    <w:rsid w:val="00DD5FCA"/>
    <w:rsid w:val="00DE14A2"/>
    <w:rsid w:val="00DE763C"/>
    <w:rsid w:val="00DF4233"/>
    <w:rsid w:val="00DF7659"/>
    <w:rsid w:val="00E0547A"/>
    <w:rsid w:val="00E0793A"/>
    <w:rsid w:val="00E14796"/>
    <w:rsid w:val="00E152B2"/>
    <w:rsid w:val="00E22EA2"/>
    <w:rsid w:val="00E24915"/>
    <w:rsid w:val="00E25B29"/>
    <w:rsid w:val="00E33EEB"/>
    <w:rsid w:val="00E47362"/>
    <w:rsid w:val="00E477A8"/>
    <w:rsid w:val="00E51EE8"/>
    <w:rsid w:val="00E522F2"/>
    <w:rsid w:val="00E56245"/>
    <w:rsid w:val="00E667CF"/>
    <w:rsid w:val="00E668AF"/>
    <w:rsid w:val="00E77B02"/>
    <w:rsid w:val="00E852B2"/>
    <w:rsid w:val="00E86EAD"/>
    <w:rsid w:val="00E87CCF"/>
    <w:rsid w:val="00EA473F"/>
    <w:rsid w:val="00EB2EAF"/>
    <w:rsid w:val="00EB63F3"/>
    <w:rsid w:val="00EB6BB8"/>
    <w:rsid w:val="00EC5DFC"/>
    <w:rsid w:val="00EE36C7"/>
    <w:rsid w:val="00EF2653"/>
    <w:rsid w:val="00F12DBF"/>
    <w:rsid w:val="00F13DC0"/>
    <w:rsid w:val="00F1509D"/>
    <w:rsid w:val="00F25D2D"/>
    <w:rsid w:val="00F25E75"/>
    <w:rsid w:val="00F26CF2"/>
    <w:rsid w:val="00F31983"/>
    <w:rsid w:val="00F33439"/>
    <w:rsid w:val="00F33CB1"/>
    <w:rsid w:val="00F34571"/>
    <w:rsid w:val="00F518F5"/>
    <w:rsid w:val="00F5273A"/>
    <w:rsid w:val="00F62C1B"/>
    <w:rsid w:val="00F65834"/>
    <w:rsid w:val="00F65C97"/>
    <w:rsid w:val="00F727B2"/>
    <w:rsid w:val="00F738C4"/>
    <w:rsid w:val="00F76D95"/>
    <w:rsid w:val="00F80F67"/>
    <w:rsid w:val="00FA0696"/>
    <w:rsid w:val="00FA1FC2"/>
    <w:rsid w:val="00FB2C29"/>
    <w:rsid w:val="00FB3DE1"/>
    <w:rsid w:val="00FB7528"/>
    <w:rsid w:val="00FC2881"/>
    <w:rsid w:val="00FC649B"/>
    <w:rsid w:val="00FD3299"/>
    <w:rsid w:val="00FE37FA"/>
    <w:rsid w:val="00FE4503"/>
    <w:rsid w:val="00FE485C"/>
    <w:rsid w:val="00FE488D"/>
    <w:rsid w:val="00FE7F18"/>
    <w:rsid w:val="00FF068B"/>
    <w:rsid w:val="00FF0CD1"/>
    <w:rsid w:val="00FF24F4"/>
    <w:rsid w:val="00FF3A09"/>
    <w:rsid w:val="06FD3C98"/>
    <w:rsid w:val="1C9BF803"/>
    <w:rsid w:val="1D7E9288"/>
    <w:rsid w:val="1DA56EE6"/>
    <w:rsid w:val="1FC7D3D1"/>
    <w:rsid w:val="1FFE3AE5"/>
    <w:rsid w:val="25FC290A"/>
    <w:rsid w:val="2AFF3F76"/>
    <w:rsid w:val="2DD70DF2"/>
    <w:rsid w:val="2DF13CBD"/>
    <w:rsid w:val="2F7ECEE3"/>
    <w:rsid w:val="2FEF5530"/>
    <w:rsid w:val="2FFFA6CC"/>
    <w:rsid w:val="333BCA2F"/>
    <w:rsid w:val="336AD66E"/>
    <w:rsid w:val="36DFC307"/>
    <w:rsid w:val="373F0DAA"/>
    <w:rsid w:val="37DF15CE"/>
    <w:rsid w:val="39FF4F9C"/>
    <w:rsid w:val="3AAEAFB6"/>
    <w:rsid w:val="3BFF2820"/>
    <w:rsid w:val="3D3F00A9"/>
    <w:rsid w:val="3D5D8153"/>
    <w:rsid w:val="3DEDF583"/>
    <w:rsid w:val="3DFFBA12"/>
    <w:rsid w:val="3EB9ADE4"/>
    <w:rsid w:val="3EFD4FB3"/>
    <w:rsid w:val="3F5D33DF"/>
    <w:rsid w:val="3F759CCD"/>
    <w:rsid w:val="3FD58E43"/>
    <w:rsid w:val="3FED78F6"/>
    <w:rsid w:val="3FF7E64E"/>
    <w:rsid w:val="3FFF3116"/>
    <w:rsid w:val="47BF666E"/>
    <w:rsid w:val="47FFBF67"/>
    <w:rsid w:val="4ADD7395"/>
    <w:rsid w:val="4ADFFFBC"/>
    <w:rsid w:val="4BBF9829"/>
    <w:rsid w:val="4BED976E"/>
    <w:rsid w:val="4BFB5B7C"/>
    <w:rsid w:val="4CDF3AD5"/>
    <w:rsid w:val="4DAFB81A"/>
    <w:rsid w:val="4F1FAE4D"/>
    <w:rsid w:val="4FE1EEA0"/>
    <w:rsid w:val="4FFE3F84"/>
    <w:rsid w:val="4FFE9FB6"/>
    <w:rsid w:val="5337997C"/>
    <w:rsid w:val="539BCA3E"/>
    <w:rsid w:val="55AE4206"/>
    <w:rsid w:val="55F709A5"/>
    <w:rsid w:val="57FF0D44"/>
    <w:rsid w:val="57FFE869"/>
    <w:rsid w:val="597D2B5E"/>
    <w:rsid w:val="59EE3C68"/>
    <w:rsid w:val="5AAB1712"/>
    <w:rsid w:val="5B7FAED2"/>
    <w:rsid w:val="5BBFDFCF"/>
    <w:rsid w:val="5BFC9500"/>
    <w:rsid w:val="5BFFA5D9"/>
    <w:rsid w:val="5CE3A1BE"/>
    <w:rsid w:val="5CF56503"/>
    <w:rsid w:val="5D2F7C29"/>
    <w:rsid w:val="5DC7E0E3"/>
    <w:rsid w:val="5DD6DB88"/>
    <w:rsid w:val="5DEBE800"/>
    <w:rsid w:val="5DEBEBDD"/>
    <w:rsid w:val="5DEEA254"/>
    <w:rsid w:val="5DF92C4A"/>
    <w:rsid w:val="5DFED9D4"/>
    <w:rsid w:val="5E798208"/>
    <w:rsid w:val="5E9BF6E6"/>
    <w:rsid w:val="5EDE14BB"/>
    <w:rsid w:val="5EFFF3EB"/>
    <w:rsid w:val="5F6EF68E"/>
    <w:rsid w:val="5F71365A"/>
    <w:rsid w:val="5F71A12B"/>
    <w:rsid w:val="5F8FD8EC"/>
    <w:rsid w:val="5FD7691F"/>
    <w:rsid w:val="5FDF10A6"/>
    <w:rsid w:val="5FED043D"/>
    <w:rsid w:val="5FF7E7D0"/>
    <w:rsid w:val="5FFF6F35"/>
    <w:rsid w:val="5FFFD968"/>
    <w:rsid w:val="633FC934"/>
    <w:rsid w:val="657F9B22"/>
    <w:rsid w:val="67A1D5ED"/>
    <w:rsid w:val="6D7B93D2"/>
    <w:rsid w:val="6D7BBC2B"/>
    <w:rsid w:val="6DFE986D"/>
    <w:rsid w:val="6EF7E256"/>
    <w:rsid w:val="6F654143"/>
    <w:rsid w:val="6FA22115"/>
    <w:rsid w:val="6FED19C6"/>
    <w:rsid w:val="6FFA8758"/>
    <w:rsid w:val="6FFAB10B"/>
    <w:rsid w:val="6FFDF2FD"/>
    <w:rsid w:val="71775114"/>
    <w:rsid w:val="71EFF365"/>
    <w:rsid w:val="71FB808D"/>
    <w:rsid w:val="72D9307B"/>
    <w:rsid w:val="72FDB260"/>
    <w:rsid w:val="7357A14D"/>
    <w:rsid w:val="735C3B18"/>
    <w:rsid w:val="7375AA24"/>
    <w:rsid w:val="739B1AEC"/>
    <w:rsid w:val="73D7B48C"/>
    <w:rsid w:val="73EA0DD0"/>
    <w:rsid w:val="75BBF2C7"/>
    <w:rsid w:val="75FF5A45"/>
    <w:rsid w:val="76B6A2A7"/>
    <w:rsid w:val="76C20B32"/>
    <w:rsid w:val="76F39580"/>
    <w:rsid w:val="775766C1"/>
    <w:rsid w:val="776B3D58"/>
    <w:rsid w:val="779FFF63"/>
    <w:rsid w:val="77DF9F7A"/>
    <w:rsid w:val="785F3A51"/>
    <w:rsid w:val="78EDE338"/>
    <w:rsid w:val="78FECAC2"/>
    <w:rsid w:val="78FFE32D"/>
    <w:rsid w:val="79FC059F"/>
    <w:rsid w:val="7A4F4C88"/>
    <w:rsid w:val="7A7EA798"/>
    <w:rsid w:val="7AFB428A"/>
    <w:rsid w:val="7B7FAB2B"/>
    <w:rsid w:val="7BAFA7BF"/>
    <w:rsid w:val="7BEDB0CE"/>
    <w:rsid w:val="7CDF472B"/>
    <w:rsid w:val="7D7E0060"/>
    <w:rsid w:val="7DBE0A84"/>
    <w:rsid w:val="7DBFC71B"/>
    <w:rsid w:val="7DEF9994"/>
    <w:rsid w:val="7EDE3B02"/>
    <w:rsid w:val="7EDEBA16"/>
    <w:rsid w:val="7EF74CF6"/>
    <w:rsid w:val="7EFFE1C9"/>
    <w:rsid w:val="7F3DF0C3"/>
    <w:rsid w:val="7F6F1972"/>
    <w:rsid w:val="7F6F5940"/>
    <w:rsid w:val="7F7B4F7E"/>
    <w:rsid w:val="7F7E50C6"/>
    <w:rsid w:val="7F934F3A"/>
    <w:rsid w:val="7F98420F"/>
    <w:rsid w:val="7FAB617B"/>
    <w:rsid w:val="7FAE7389"/>
    <w:rsid w:val="7FBD0F9C"/>
    <w:rsid w:val="7FBDC405"/>
    <w:rsid w:val="7FCBEE96"/>
    <w:rsid w:val="7FD62041"/>
    <w:rsid w:val="7FD7736B"/>
    <w:rsid w:val="7FDC5935"/>
    <w:rsid w:val="7FDE25D0"/>
    <w:rsid w:val="7FDE7C06"/>
    <w:rsid w:val="7FDFC803"/>
    <w:rsid w:val="7FDFFD78"/>
    <w:rsid w:val="7FF6EBE7"/>
    <w:rsid w:val="7FF7F9DC"/>
    <w:rsid w:val="7FF93B18"/>
    <w:rsid w:val="7FFA56A0"/>
    <w:rsid w:val="7FFF60C4"/>
    <w:rsid w:val="7FFFC8DE"/>
    <w:rsid w:val="8E0F2026"/>
    <w:rsid w:val="8FFE291F"/>
    <w:rsid w:val="93774A36"/>
    <w:rsid w:val="96EE6CC3"/>
    <w:rsid w:val="96F38DA5"/>
    <w:rsid w:val="96FACE2F"/>
    <w:rsid w:val="9EFCA29A"/>
    <w:rsid w:val="9FBF0E51"/>
    <w:rsid w:val="9FEBAC2B"/>
    <w:rsid w:val="AFBFD284"/>
    <w:rsid w:val="B1BF2718"/>
    <w:rsid w:val="B31E651A"/>
    <w:rsid w:val="B3D04C63"/>
    <w:rsid w:val="B5F98CA2"/>
    <w:rsid w:val="B6EEBBCF"/>
    <w:rsid w:val="B77BE0B4"/>
    <w:rsid w:val="B7FB9027"/>
    <w:rsid w:val="BAFE46E5"/>
    <w:rsid w:val="BBDE5229"/>
    <w:rsid w:val="BD2F37B5"/>
    <w:rsid w:val="BDD7C11F"/>
    <w:rsid w:val="BDEDC7ED"/>
    <w:rsid w:val="BDF4390F"/>
    <w:rsid w:val="BDFB8528"/>
    <w:rsid w:val="BF29AAEB"/>
    <w:rsid w:val="BF75423F"/>
    <w:rsid w:val="BFCF5489"/>
    <w:rsid w:val="BFDD0198"/>
    <w:rsid w:val="BFEBD557"/>
    <w:rsid w:val="BFF7D6F7"/>
    <w:rsid w:val="BFFF22FF"/>
    <w:rsid w:val="C5F3272F"/>
    <w:rsid w:val="C6FB6510"/>
    <w:rsid w:val="C7A7C0C2"/>
    <w:rsid w:val="CF7FCF30"/>
    <w:rsid w:val="CFD720B8"/>
    <w:rsid w:val="D165D23B"/>
    <w:rsid w:val="D5FDD1BA"/>
    <w:rsid w:val="D773A445"/>
    <w:rsid w:val="D7D0B10C"/>
    <w:rsid w:val="D7FEF567"/>
    <w:rsid w:val="D9EF3B40"/>
    <w:rsid w:val="D9FE47E5"/>
    <w:rsid w:val="DB0FF90E"/>
    <w:rsid w:val="DBFFB590"/>
    <w:rsid w:val="DDEF5513"/>
    <w:rsid w:val="DEF26225"/>
    <w:rsid w:val="DF8BCC27"/>
    <w:rsid w:val="DFA58C4F"/>
    <w:rsid w:val="DFBA98AB"/>
    <w:rsid w:val="DFBF1E5D"/>
    <w:rsid w:val="DFDEC0A0"/>
    <w:rsid w:val="DFE91B71"/>
    <w:rsid w:val="DFEB029A"/>
    <w:rsid w:val="DFF3929C"/>
    <w:rsid w:val="DFFC1110"/>
    <w:rsid w:val="E1F54B5F"/>
    <w:rsid w:val="E25EBA59"/>
    <w:rsid w:val="E617A431"/>
    <w:rsid w:val="E637F874"/>
    <w:rsid w:val="E6AFD686"/>
    <w:rsid w:val="E7874182"/>
    <w:rsid w:val="E9E9D608"/>
    <w:rsid w:val="EAFF2AC1"/>
    <w:rsid w:val="EBBF534B"/>
    <w:rsid w:val="EC9637BF"/>
    <w:rsid w:val="EDDFA2F1"/>
    <w:rsid w:val="EED2AE16"/>
    <w:rsid w:val="EEFA7608"/>
    <w:rsid w:val="EEFF546D"/>
    <w:rsid w:val="EF72956A"/>
    <w:rsid w:val="EFBF46C3"/>
    <w:rsid w:val="EFE66296"/>
    <w:rsid w:val="F1CDB870"/>
    <w:rsid w:val="F3736422"/>
    <w:rsid w:val="F3FA566D"/>
    <w:rsid w:val="F4FFB0BE"/>
    <w:rsid w:val="F5BFF2B8"/>
    <w:rsid w:val="F5E7C5D3"/>
    <w:rsid w:val="F5F60854"/>
    <w:rsid w:val="F5FD9B00"/>
    <w:rsid w:val="F63FB7B6"/>
    <w:rsid w:val="F76F9E0C"/>
    <w:rsid w:val="F777D987"/>
    <w:rsid w:val="F7A58457"/>
    <w:rsid w:val="F7D7E4DE"/>
    <w:rsid w:val="F7E9059E"/>
    <w:rsid w:val="F7FB2B1A"/>
    <w:rsid w:val="F9EF4CC7"/>
    <w:rsid w:val="FADA867B"/>
    <w:rsid w:val="FADDEF21"/>
    <w:rsid w:val="FAEA5BB6"/>
    <w:rsid w:val="FB7E46E9"/>
    <w:rsid w:val="FB7F415E"/>
    <w:rsid w:val="FBBC30DD"/>
    <w:rsid w:val="FBDF2641"/>
    <w:rsid w:val="FBE7AA70"/>
    <w:rsid w:val="FBF71009"/>
    <w:rsid w:val="FD23C044"/>
    <w:rsid w:val="FD27569F"/>
    <w:rsid w:val="FD9FAFF9"/>
    <w:rsid w:val="FDDFD1C0"/>
    <w:rsid w:val="FDEF4462"/>
    <w:rsid w:val="FDFDEAFD"/>
    <w:rsid w:val="FE3F4B22"/>
    <w:rsid w:val="FE3F8EE7"/>
    <w:rsid w:val="FEEBE3C5"/>
    <w:rsid w:val="FF269F38"/>
    <w:rsid w:val="FF3F9D10"/>
    <w:rsid w:val="FF4D656B"/>
    <w:rsid w:val="FF77DD90"/>
    <w:rsid w:val="FF7E1662"/>
    <w:rsid w:val="FF7F14A4"/>
    <w:rsid w:val="FF9BB050"/>
    <w:rsid w:val="FF9FC18C"/>
    <w:rsid w:val="FFAB16FA"/>
    <w:rsid w:val="FFBB2F06"/>
    <w:rsid w:val="FFCD97C4"/>
    <w:rsid w:val="FFDA722C"/>
    <w:rsid w:val="FFDF2BDD"/>
    <w:rsid w:val="FFE3EEB8"/>
    <w:rsid w:val="FFE7A398"/>
    <w:rsid w:val="FFEE4093"/>
    <w:rsid w:val="FFEF43AE"/>
    <w:rsid w:val="FFEF93AA"/>
    <w:rsid w:val="FFEFC11A"/>
    <w:rsid w:val="FFEFD059"/>
    <w:rsid w:val="FFF3ED1A"/>
    <w:rsid w:val="FFF6C650"/>
    <w:rsid w:val="FFFAC5C0"/>
    <w:rsid w:val="FFFB0373"/>
    <w:rsid w:val="FFFB58F5"/>
    <w:rsid w:val="FFFBF9D7"/>
    <w:rsid w:val="FFFC27F9"/>
    <w:rsid w:val="FFFE5841"/>
    <w:rsid w:val="FFFF395D"/>
    <w:rsid w:val="FF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523</Words>
  <Characters>2985</Characters>
  <Lines>24</Lines>
  <Paragraphs>7</Paragraphs>
  <TotalTime>0</TotalTime>
  <ScaleCrop>false</ScaleCrop>
  <LinksUpToDate>false</LinksUpToDate>
  <CharactersWithSpaces>3501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2020-12-11T16:56:00Z</dcterms:created>
  <dc:creator>jin</dc:creator>
  <cp:lastModifiedBy>Jin</cp:lastModifiedBy>
  <cp:lastPrinted>2020-12-19T14:36:00Z</cp:lastPrinted>
  <dcterms:modified xsi:type="dcterms:W3CDTF">2021-02-01T14:12:24Z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